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骨科</w:t>
      </w:r>
      <w:r>
        <w:rPr>
          <w:rFonts w:hint="eastAsia" w:ascii="宋体" w:hAnsi="宋体"/>
          <w:b/>
          <w:sz w:val="28"/>
          <w:szCs w:val="28"/>
        </w:rPr>
        <w:t>手术床产品</w:t>
      </w:r>
      <w:r>
        <w:rPr>
          <w:rFonts w:hint="eastAsia" w:ascii="宋体" w:hAnsi="宋体"/>
          <w:b/>
          <w:sz w:val="28"/>
          <w:szCs w:val="28"/>
          <w:lang w:eastAsia="zh-CN"/>
        </w:rPr>
        <w:t>配置参数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电动综合手术床技术要求</w:t>
      </w:r>
      <w:bookmarkStart w:id="0" w:name="OLE_LINK1"/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</w:t>
      </w:r>
      <w:bookmarkStart w:id="1" w:name="OLE_LINK2"/>
      <w:bookmarkStart w:id="2" w:name="OLE_LINK3"/>
      <w:r>
        <w:rPr>
          <w:rFonts w:hint="eastAsia" w:ascii="宋体" w:hAnsi="宋体"/>
          <w:szCs w:val="20"/>
        </w:rPr>
        <w:t>电动综合手术床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0"/>
        </w:rPr>
        <w:t>电动调节床面升降、前后倾、左右倾、背板升降、腿板升降、刹车6个主要动作组</w:t>
      </w:r>
      <w:bookmarkEnd w:id="1"/>
      <w:bookmarkEnd w:id="2"/>
      <w:r>
        <w:rPr>
          <w:rFonts w:hint="eastAsia" w:ascii="宋体" w:hAnsi="宋体"/>
          <w:szCs w:val="20"/>
        </w:rPr>
        <w:t>，</w:t>
      </w:r>
      <w:r>
        <w:rPr>
          <w:rFonts w:hint="eastAsia"/>
        </w:rPr>
        <w:t>两个腿板可单独电动升降</w:t>
      </w:r>
      <w:r>
        <w:rPr>
          <w:rFonts w:hint="eastAsia" w:ascii="宋体" w:hAnsi="宋体"/>
          <w:szCs w:val="20"/>
        </w:rPr>
        <w:t>。</w:t>
      </w:r>
      <w:r>
        <w:rPr>
          <w:rFonts w:ascii="宋体" w:hAnsi="宋体"/>
          <w:szCs w:val="21"/>
        </w:rPr>
        <w:t xml:space="preserve"> 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★手术床具备平移功能，且平移功能由独立的电机驱动，平移距离不小于400mm。</w:t>
      </w:r>
      <w:bookmarkStart w:id="5" w:name="_GoBack"/>
      <w:bookmarkEnd w:id="5"/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1"/>
        </w:rPr>
        <w:t>★</w:t>
      </w:r>
      <w:r>
        <w:rPr>
          <w:rFonts w:hint="eastAsia" w:ascii="宋体" w:hAnsi="宋体"/>
          <w:szCs w:val="20"/>
        </w:rPr>
        <w:t>手术床最大承重≥450kg。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记忆海绵床垫,</w:t>
      </w:r>
      <w:r>
        <w:rPr>
          <w:rFonts w:hint="eastAsia"/>
        </w:rPr>
        <w:t xml:space="preserve"> 厚度75mm，</w:t>
      </w:r>
      <w:r>
        <w:rPr>
          <w:rFonts w:hint="eastAsia" w:ascii="宋体" w:hAnsi="宋体"/>
          <w:szCs w:val="20"/>
        </w:rPr>
        <w:t>表面无针缝，防水透气易清洁。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★五段式模块化台面设计，头板、上背板、腿板都可以徒手拆卸，可</w:t>
      </w:r>
      <w:r>
        <w:rPr>
          <w:rFonts w:hint="eastAsia" w:cs="FZLTH3K--GBK1-0" w:asciiTheme="minorEastAsia" w:hAnsiTheme="minorEastAsia" w:eastAsiaTheme="minorEastAsia"/>
          <w:kern w:val="0"/>
          <w:sz w:val="20"/>
          <w:szCs w:val="20"/>
        </w:rPr>
        <w:t>通过增减台面模块的方式，来满足不同的手术需求；具备模块接口防呆系统，避免误用模块风险。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床体具备自保护防撞系统，保证床体可在任意体位安全运行。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最低台面高度低于600mm。</w:t>
      </w:r>
      <w:bookmarkStart w:id="3" w:name="OLE_LINK4"/>
      <w:bookmarkStart w:id="4" w:name="OLE_LINK5"/>
    </w:p>
    <w:bookmarkEnd w:id="3"/>
    <w:bookmarkEnd w:id="4"/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手术床台面框架和立柱采用优质不锈钢制成，基座外壳采用玻璃钢制成，抗撞击，耐腐蚀，耐消毒，不生锈，坚固耐用。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配有全碳纤维床板，优秀的透X线能力，台面下侧安装有导轨，用于输送X光片盒 。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手术床配有国际知名品牌高性能充电电池，可满足≥50次手术需要，确保手术床在无交流电源供电状态下工作；充电电池无需保养和维护,可长时间使用。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具有手持控制器和立柱应急控制面板两套相互独立的控制系统，确保手术床在一套控制系统发生故障时，另一套仍能可靠运行</w:t>
      </w:r>
      <w:r>
        <w:rPr>
          <w:rFonts w:hint="eastAsia" w:ascii="宋体" w:hAnsi="宋体"/>
          <w:szCs w:val="21"/>
        </w:rPr>
        <w:t>。</w:t>
      </w:r>
      <w:bookmarkEnd w:id="0"/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★手持控制器</w:t>
      </w:r>
      <w:r>
        <w:rPr>
          <w:rFonts w:hint="eastAsia" w:ascii="宋体" w:hAnsi="宋体"/>
          <w:szCs w:val="21"/>
        </w:rPr>
        <w:t>具备液晶屏幕，可实时反馈手术床的运动位置、电池电量、智能防撞等信息，并可存储10组记忆体位供使用者自由选择。）</w:t>
      </w:r>
    </w:p>
    <w:p>
      <w:pPr>
        <w:pStyle w:val="18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0"/>
        </w:rPr>
        <w:t>具有一键形成屈曲、反屈曲、沙滩椅体位和一键复位功能。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0"/>
        </w:rPr>
      </w:pPr>
      <w:r>
        <w:rPr>
          <w:rFonts w:hint="eastAsia" w:cs="FZLTH3K--GBK1-0" w:asciiTheme="minorEastAsia" w:hAnsiTheme="minorEastAsia" w:eastAsiaTheme="minorEastAsia"/>
          <w:kern w:val="0"/>
          <w:szCs w:val="21"/>
        </w:rPr>
        <w:t>底座具有四个可升降万向脚轮，实现灵活移动和稳定制动</w:t>
      </w:r>
      <w:r>
        <w:rPr>
          <w:rFonts w:hint="eastAsia" w:ascii="宋体" w:hAnsi="宋体"/>
          <w:szCs w:val="20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★</w:t>
      </w:r>
      <w:r>
        <w:rPr>
          <w:rFonts w:hint="eastAsia" w:ascii="宋体" w:hAnsi="宋体"/>
          <w:szCs w:val="21"/>
        </w:rPr>
        <w:t>配备同品牌碳纤维骨科牵引架。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1"/>
        </w:rPr>
        <w:t>配同品牌肩关节手术</w:t>
      </w:r>
      <w:r>
        <w:rPr>
          <w:rFonts w:hint="eastAsia" w:ascii="宋体" w:hAnsi="宋体"/>
          <w:szCs w:val="21"/>
          <w:lang w:eastAsia="zh-CN"/>
        </w:rPr>
        <w:t>板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技术参数：</w:t>
      </w:r>
    </w:p>
    <w:tbl>
      <w:tblPr>
        <w:tblStyle w:val="12"/>
        <w:tblW w:w="4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42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/>
                <w:bCs/>
                <w:kern w:val="24"/>
                <w:sz w:val="18"/>
                <w:szCs w:val="18"/>
              </w:rPr>
              <w:t>型号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 Unicode MS" w:asciiTheme="minorEastAsia" w:hAnsiTheme="minorEastAsia" w:eastAsiaTheme="minorEastAsia"/>
                <w:b/>
                <w:bCs/>
                <w:kern w:val="24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最大承重 (kg)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4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宽度（不含边柜） (mm)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宽度（含边柜） (mm)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台面高度 (mm)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600-1050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前后倾斜(°)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24"/>
                <w:sz w:val="18"/>
                <w:szCs w:val="18"/>
              </w:rPr>
              <w:t>±36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左右倾斜(°)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24"/>
                <w:sz w:val="18"/>
                <w:szCs w:val="18"/>
              </w:rPr>
              <w:t>±26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头板上下(°)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+45/-90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下背板上下 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+90/-45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腿板上下 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+80/-95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屈曲(°)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反屈曲 (°)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178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420" w:type="dxa"/>
            <w:shd w:val="clear" w:color="auto" w:fill="auto"/>
            <w:tcMar>
              <w:top w:w="10" w:type="dxa"/>
              <w:left w:w="119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Cs/>
                <w:kern w:val="24"/>
                <w:sz w:val="18"/>
                <w:szCs w:val="18"/>
              </w:rPr>
              <w:t>平移 (mm)</w:t>
            </w:r>
          </w:p>
        </w:tc>
        <w:tc>
          <w:tcPr>
            <w:tcW w:w="255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233" w:lineRule="atLeast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kern w:val="24"/>
                <w:sz w:val="18"/>
                <w:szCs w:val="18"/>
              </w:rPr>
              <w:t>400</w:t>
            </w:r>
          </w:p>
        </w:tc>
      </w:tr>
    </w:tbl>
    <w:p>
      <w:pPr>
        <w:pStyle w:val="1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基本配置：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电动手术床主床, 配记忆海绵床垫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头板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上背板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下背板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臀板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分体式腿板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台柱应急控制面板，手持控制器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托手架一对（含夹持器）</w:t>
      </w:r>
    </w:p>
    <w:p>
      <w:pPr>
        <w:pStyle w:val="18"/>
        <w:spacing w:line="360" w:lineRule="auto"/>
        <w:ind w:left="420" w:firstLine="0" w:firstLineChars="0"/>
        <w:jc w:val="left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麻醉屏架（含夹持器）</w:t>
      </w:r>
    </w:p>
    <w:p>
      <w:pPr>
        <w:pStyle w:val="18"/>
        <w:spacing w:line="360" w:lineRule="auto"/>
        <w:ind w:left="420" w:firstLine="0" w:firstLineChars="0"/>
        <w:jc w:val="left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全碳纤维骨科牵引架</w:t>
      </w:r>
    </w:p>
    <w:p>
      <w:pPr>
        <w:pStyle w:val="18"/>
        <w:spacing w:line="360" w:lineRule="auto"/>
        <w:ind w:left="420" w:firstLine="0" w:firstLineChars="0"/>
        <w:jc w:val="left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肩关节手术板</w:t>
      </w:r>
    </w:p>
    <w:p>
      <w:pPr>
        <w:pStyle w:val="18"/>
        <w:spacing w:line="360" w:lineRule="auto"/>
        <w:ind w:left="420" w:firstLine="0" w:firstLineChars="0"/>
        <w:jc w:val="left"/>
        <w:rPr>
          <w:rFonts w:hint="eastAsia" w:ascii="宋体" w:hAnsi="宋体"/>
          <w:szCs w:val="20"/>
        </w:rPr>
      </w:pPr>
      <w:r>
        <w:rPr>
          <w:rFonts w:hint="eastAsia" w:ascii="宋体" w:hAnsi="宋体"/>
          <w:szCs w:val="20"/>
        </w:rPr>
        <w:t>托腿架（一对）</w:t>
      </w:r>
    </w:p>
    <w:p>
      <w:pPr>
        <w:pStyle w:val="18"/>
        <w:spacing w:line="360" w:lineRule="auto"/>
        <w:ind w:left="420" w:firstLine="0" w:firstLineChars="0"/>
        <w:jc w:val="left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支身架（一对）</w:t>
      </w:r>
    </w:p>
    <w:sectPr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LTH3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6A93"/>
    <w:multiLevelType w:val="multilevel"/>
    <w:tmpl w:val="2D4F6A9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92522B"/>
    <w:multiLevelType w:val="multilevel"/>
    <w:tmpl w:val="3D92522B"/>
    <w:lvl w:ilvl="0" w:tentative="0">
      <w:start w:val="1"/>
      <w:numFmt w:val="chineseCountingThousand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78"/>
    <w:rsid w:val="00000CFC"/>
    <w:rsid w:val="00003990"/>
    <w:rsid w:val="000079CC"/>
    <w:rsid w:val="00035BE7"/>
    <w:rsid w:val="00055C38"/>
    <w:rsid w:val="000562CA"/>
    <w:rsid w:val="000638FE"/>
    <w:rsid w:val="00066316"/>
    <w:rsid w:val="00071C28"/>
    <w:rsid w:val="00073295"/>
    <w:rsid w:val="000972C0"/>
    <w:rsid w:val="000A6A1D"/>
    <w:rsid w:val="000A75A7"/>
    <w:rsid w:val="000D7316"/>
    <w:rsid w:val="000E4732"/>
    <w:rsid w:val="000F18BD"/>
    <w:rsid w:val="000F5535"/>
    <w:rsid w:val="0010481A"/>
    <w:rsid w:val="001167DF"/>
    <w:rsid w:val="00116A4B"/>
    <w:rsid w:val="00120856"/>
    <w:rsid w:val="001244D2"/>
    <w:rsid w:val="0013352B"/>
    <w:rsid w:val="00134DE3"/>
    <w:rsid w:val="00145744"/>
    <w:rsid w:val="00145AEB"/>
    <w:rsid w:val="00146702"/>
    <w:rsid w:val="001471DE"/>
    <w:rsid w:val="0015687A"/>
    <w:rsid w:val="00162947"/>
    <w:rsid w:val="00165AEB"/>
    <w:rsid w:val="00167EFB"/>
    <w:rsid w:val="0017347D"/>
    <w:rsid w:val="00174C98"/>
    <w:rsid w:val="00192E5E"/>
    <w:rsid w:val="001946BB"/>
    <w:rsid w:val="001A2CB9"/>
    <w:rsid w:val="001A3018"/>
    <w:rsid w:val="001A6A2A"/>
    <w:rsid w:val="001A6F24"/>
    <w:rsid w:val="001B55E1"/>
    <w:rsid w:val="001C3036"/>
    <w:rsid w:val="001C5EE7"/>
    <w:rsid w:val="001D11A8"/>
    <w:rsid w:val="001D2A0C"/>
    <w:rsid w:val="001D2CEC"/>
    <w:rsid w:val="001E45C8"/>
    <w:rsid w:val="001F4895"/>
    <w:rsid w:val="001F57AE"/>
    <w:rsid w:val="001F71AD"/>
    <w:rsid w:val="002025AF"/>
    <w:rsid w:val="00205E69"/>
    <w:rsid w:val="002110BE"/>
    <w:rsid w:val="00220B27"/>
    <w:rsid w:val="002210E9"/>
    <w:rsid w:val="00221ADB"/>
    <w:rsid w:val="00232C06"/>
    <w:rsid w:val="002338A3"/>
    <w:rsid w:val="00240C38"/>
    <w:rsid w:val="00242C3C"/>
    <w:rsid w:val="00246776"/>
    <w:rsid w:val="00256FBC"/>
    <w:rsid w:val="00263B6C"/>
    <w:rsid w:val="00263EFB"/>
    <w:rsid w:val="0026416F"/>
    <w:rsid w:val="00265A22"/>
    <w:rsid w:val="00265ECA"/>
    <w:rsid w:val="00270AAA"/>
    <w:rsid w:val="00273872"/>
    <w:rsid w:val="00280086"/>
    <w:rsid w:val="00280F46"/>
    <w:rsid w:val="00283BC5"/>
    <w:rsid w:val="00292370"/>
    <w:rsid w:val="002A7203"/>
    <w:rsid w:val="002B7692"/>
    <w:rsid w:val="002C25C1"/>
    <w:rsid w:val="002F28BF"/>
    <w:rsid w:val="002F6A6D"/>
    <w:rsid w:val="003004AD"/>
    <w:rsid w:val="003023B9"/>
    <w:rsid w:val="00303B98"/>
    <w:rsid w:val="00317040"/>
    <w:rsid w:val="0032184D"/>
    <w:rsid w:val="00325508"/>
    <w:rsid w:val="00331279"/>
    <w:rsid w:val="003342DF"/>
    <w:rsid w:val="00343B19"/>
    <w:rsid w:val="00353A22"/>
    <w:rsid w:val="00360F75"/>
    <w:rsid w:val="003624F0"/>
    <w:rsid w:val="003705CF"/>
    <w:rsid w:val="00373071"/>
    <w:rsid w:val="00375692"/>
    <w:rsid w:val="003967DB"/>
    <w:rsid w:val="00397C1D"/>
    <w:rsid w:val="00397DA4"/>
    <w:rsid w:val="003A3426"/>
    <w:rsid w:val="003B146A"/>
    <w:rsid w:val="003B4B06"/>
    <w:rsid w:val="003B60C3"/>
    <w:rsid w:val="003B66E5"/>
    <w:rsid w:val="003C01A4"/>
    <w:rsid w:val="003D3B14"/>
    <w:rsid w:val="003D7E2B"/>
    <w:rsid w:val="003E5585"/>
    <w:rsid w:val="003E55E4"/>
    <w:rsid w:val="003F110C"/>
    <w:rsid w:val="003F7D2C"/>
    <w:rsid w:val="00400B43"/>
    <w:rsid w:val="00402289"/>
    <w:rsid w:val="004026D9"/>
    <w:rsid w:val="00407C56"/>
    <w:rsid w:val="00415B20"/>
    <w:rsid w:val="0041686E"/>
    <w:rsid w:val="00421361"/>
    <w:rsid w:val="004214EC"/>
    <w:rsid w:val="0042329B"/>
    <w:rsid w:val="0042786B"/>
    <w:rsid w:val="004311DF"/>
    <w:rsid w:val="00445161"/>
    <w:rsid w:val="00455861"/>
    <w:rsid w:val="00462DE4"/>
    <w:rsid w:val="00467FA4"/>
    <w:rsid w:val="004819F9"/>
    <w:rsid w:val="00482A69"/>
    <w:rsid w:val="00483073"/>
    <w:rsid w:val="004834E3"/>
    <w:rsid w:val="00486A66"/>
    <w:rsid w:val="004A0671"/>
    <w:rsid w:val="004A6508"/>
    <w:rsid w:val="004C65C5"/>
    <w:rsid w:val="004D3FBD"/>
    <w:rsid w:val="004D56F8"/>
    <w:rsid w:val="004D79F1"/>
    <w:rsid w:val="004D7CB9"/>
    <w:rsid w:val="004E048F"/>
    <w:rsid w:val="004E0FB9"/>
    <w:rsid w:val="004F52E5"/>
    <w:rsid w:val="00505720"/>
    <w:rsid w:val="00506D33"/>
    <w:rsid w:val="0051302E"/>
    <w:rsid w:val="005141CA"/>
    <w:rsid w:val="005148A4"/>
    <w:rsid w:val="00514D22"/>
    <w:rsid w:val="00515F21"/>
    <w:rsid w:val="00522D82"/>
    <w:rsid w:val="00527365"/>
    <w:rsid w:val="00530744"/>
    <w:rsid w:val="00533235"/>
    <w:rsid w:val="00536A59"/>
    <w:rsid w:val="00537C97"/>
    <w:rsid w:val="00547654"/>
    <w:rsid w:val="00550E4A"/>
    <w:rsid w:val="00551FE2"/>
    <w:rsid w:val="00555004"/>
    <w:rsid w:val="00557537"/>
    <w:rsid w:val="00566299"/>
    <w:rsid w:val="00574477"/>
    <w:rsid w:val="00585E76"/>
    <w:rsid w:val="00592467"/>
    <w:rsid w:val="00593548"/>
    <w:rsid w:val="00596BB3"/>
    <w:rsid w:val="005B5BEE"/>
    <w:rsid w:val="005C5EB9"/>
    <w:rsid w:val="005C6423"/>
    <w:rsid w:val="005E215C"/>
    <w:rsid w:val="005E4DEC"/>
    <w:rsid w:val="005E7588"/>
    <w:rsid w:val="005F1A56"/>
    <w:rsid w:val="005F5C9E"/>
    <w:rsid w:val="0060026F"/>
    <w:rsid w:val="006012A5"/>
    <w:rsid w:val="00606F0A"/>
    <w:rsid w:val="006109FD"/>
    <w:rsid w:val="00622B11"/>
    <w:rsid w:val="006233D3"/>
    <w:rsid w:val="006235B0"/>
    <w:rsid w:val="00623E97"/>
    <w:rsid w:val="00627504"/>
    <w:rsid w:val="00634323"/>
    <w:rsid w:val="0063500A"/>
    <w:rsid w:val="00636E2E"/>
    <w:rsid w:val="00647A9A"/>
    <w:rsid w:val="006533B1"/>
    <w:rsid w:val="00654A73"/>
    <w:rsid w:val="00655A9E"/>
    <w:rsid w:val="00661795"/>
    <w:rsid w:val="0066229A"/>
    <w:rsid w:val="00665C78"/>
    <w:rsid w:val="006701CF"/>
    <w:rsid w:val="0068309A"/>
    <w:rsid w:val="00696E69"/>
    <w:rsid w:val="00697A95"/>
    <w:rsid w:val="006A043C"/>
    <w:rsid w:val="006A754C"/>
    <w:rsid w:val="006A7D24"/>
    <w:rsid w:val="006C12AB"/>
    <w:rsid w:val="006C5781"/>
    <w:rsid w:val="006D23A6"/>
    <w:rsid w:val="006E222E"/>
    <w:rsid w:val="006E311E"/>
    <w:rsid w:val="006E5D0C"/>
    <w:rsid w:val="006F00A7"/>
    <w:rsid w:val="00701DD2"/>
    <w:rsid w:val="00706196"/>
    <w:rsid w:val="00712482"/>
    <w:rsid w:val="007170DA"/>
    <w:rsid w:val="00724565"/>
    <w:rsid w:val="00731B8C"/>
    <w:rsid w:val="0073576D"/>
    <w:rsid w:val="00744ABF"/>
    <w:rsid w:val="007522CF"/>
    <w:rsid w:val="00767987"/>
    <w:rsid w:val="0077730D"/>
    <w:rsid w:val="0078738C"/>
    <w:rsid w:val="007975E4"/>
    <w:rsid w:val="007A2189"/>
    <w:rsid w:val="007C392C"/>
    <w:rsid w:val="007C40C9"/>
    <w:rsid w:val="007C564F"/>
    <w:rsid w:val="007C7EE6"/>
    <w:rsid w:val="007D322A"/>
    <w:rsid w:val="007E2B68"/>
    <w:rsid w:val="007E3A45"/>
    <w:rsid w:val="007E6959"/>
    <w:rsid w:val="007E7838"/>
    <w:rsid w:val="007F2DAB"/>
    <w:rsid w:val="007F32C5"/>
    <w:rsid w:val="007F492A"/>
    <w:rsid w:val="007F7ECB"/>
    <w:rsid w:val="00806AB6"/>
    <w:rsid w:val="00807B79"/>
    <w:rsid w:val="008101AF"/>
    <w:rsid w:val="00842497"/>
    <w:rsid w:val="00846159"/>
    <w:rsid w:val="00846467"/>
    <w:rsid w:val="00860EEF"/>
    <w:rsid w:val="00864C3E"/>
    <w:rsid w:val="0086509B"/>
    <w:rsid w:val="008754A1"/>
    <w:rsid w:val="00880220"/>
    <w:rsid w:val="00882483"/>
    <w:rsid w:val="00890BCB"/>
    <w:rsid w:val="00891349"/>
    <w:rsid w:val="0089336B"/>
    <w:rsid w:val="00893FC2"/>
    <w:rsid w:val="0089725B"/>
    <w:rsid w:val="008A2E1C"/>
    <w:rsid w:val="008A7E33"/>
    <w:rsid w:val="008B3C73"/>
    <w:rsid w:val="008B62F5"/>
    <w:rsid w:val="008B7EE2"/>
    <w:rsid w:val="008C356D"/>
    <w:rsid w:val="008C37E6"/>
    <w:rsid w:val="008C5F3C"/>
    <w:rsid w:val="008D253F"/>
    <w:rsid w:val="008D4D4A"/>
    <w:rsid w:val="008D77CC"/>
    <w:rsid w:val="008F2034"/>
    <w:rsid w:val="00905829"/>
    <w:rsid w:val="00933127"/>
    <w:rsid w:val="0093641C"/>
    <w:rsid w:val="009370F4"/>
    <w:rsid w:val="009403A9"/>
    <w:rsid w:val="009409B7"/>
    <w:rsid w:val="00942816"/>
    <w:rsid w:val="00943C11"/>
    <w:rsid w:val="00951EDF"/>
    <w:rsid w:val="00952BFA"/>
    <w:rsid w:val="00952E50"/>
    <w:rsid w:val="00963308"/>
    <w:rsid w:val="00982A43"/>
    <w:rsid w:val="009841BA"/>
    <w:rsid w:val="00987294"/>
    <w:rsid w:val="009A354B"/>
    <w:rsid w:val="009A7CF7"/>
    <w:rsid w:val="009B6CC9"/>
    <w:rsid w:val="009C518F"/>
    <w:rsid w:val="009D154A"/>
    <w:rsid w:val="009D4758"/>
    <w:rsid w:val="009D699A"/>
    <w:rsid w:val="009E20E2"/>
    <w:rsid w:val="009E2232"/>
    <w:rsid w:val="009E2A76"/>
    <w:rsid w:val="009E2AAE"/>
    <w:rsid w:val="009F536A"/>
    <w:rsid w:val="009F7372"/>
    <w:rsid w:val="00A00442"/>
    <w:rsid w:val="00A05921"/>
    <w:rsid w:val="00A06F7F"/>
    <w:rsid w:val="00A107AF"/>
    <w:rsid w:val="00A1689B"/>
    <w:rsid w:val="00A207CD"/>
    <w:rsid w:val="00A21611"/>
    <w:rsid w:val="00A24BB9"/>
    <w:rsid w:val="00A4091D"/>
    <w:rsid w:val="00A42047"/>
    <w:rsid w:val="00A5161F"/>
    <w:rsid w:val="00A554C0"/>
    <w:rsid w:val="00A5616E"/>
    <w:rsid w:val="00A619F6"/>
    <w:rsid w:val="00A7443F"/>
    <w:rsid w:val="00A75350"/>
    <w:rsid w:val="00A92049"/>
    <w:rsid w:val="00A93583"/>
    <w:rsid w:val="00A964C8"/>
    <w:rsid w:val="00AA3F0A"/>
    <w:rsid w:val="00AA5EED"/>
    <w:rsid w:val="00AB2144"/>
    <w:rsid w:val="00AB3E84"/>
    <w:rsid w:val="00AC6502"/>
    <w:rsid w:val="00AD3C2E"/>
    <w:rsid w:val="00AD7C87"/>
    <w:rsid w:val="00AE0E7A"/>
    <w:rsid w:val="00AE61AA"/>
    <w:rsid w:val="00AE7B92"/>
    <w:rsid w:val="00AF0E0E"/>
    <w:rsid w:val="00AF35D2"/>
    <w:rsid w:val="00AF57B9"/>
    <w:rsid w:val="00B07E51"/>
    <w:rsid w:val="00B107CF"/>
    <w:rsid w:val="00B11878"/>
    <w:rsid w:val="00B15CA5"/>
    <w:rsid w:val="00B2079F"/>
    <w:rsid w:val="00B23ED2"/>
    <w:rsid w:val="00B24CCA"/>
    <w:rsid w:val="00B41134"/>
    <w:rsid w:val="00B53650"/>
    <w:rsid w:val="00B53A9F"/>
    <w:rsid w:val="00B55C61"/>
    <w:rsid w:val="00B61400"/>
    <w:rsid w:val="00B744B0"/>
    <w:rsid w:val="00B765A7"/>
    <w:rsid w:val="00B80CC4"/>
    <w:rsid w:val="00B83100"/>
    <w:rsid w:val="00B86DE1"/>
    <w:rsid w:val="00B92BBE"/>
    <w:rsid w:val="00B95016"/>
    <w:rsid w:val="00B979CF"/>
    <w:rsid w:val="00BA0699"/>
    <w:rsid w:val="00BA31A9"/>
    <w:rsid w:val="00BA4B5B"/>
    <w:rsid w:val="00BA7711"/>
    <w:rsid w:val="00BB18B7"/>
    <w:rsid w:val="00BC7969"/>
    <w:rsid w:val="00BD386D"/>
    <w:rsid w:val="00BE123F"/>
    <w:rsid w:val="00BE3629"/>
    <w:rsid w:val="00BE362F"/>
    <w:rsid w:val="00BE46E7"/>
    <w:rsid w:val="00BE6B80"/>
    <w:rsid w:val="00BF3CE4"/>
    <w:rsid w:val="00BF3D0C"/>
    <w:rsid w:val="00BF6DAE"/>
    <w:rsid w:val="00C027E8"/>
    <w:rsid w:val="00C1366F"/>
    <w:rsid w:val="00C14CCE"/>
    <w:rsid w:val="00C16F19"/>
    <w:rsid w:val="00C23F22"/>
    <w:rsid w:val="00C3039D"/>
    <w:rsid w:val="00C33893"/>
    <w:rsid w:val="00C35CE7"/>
    <w:rsid w:val="00C42B22"/>
    <w:rsid w:val="00C53C49"/>
    <w:rsid w:val="00C657B8"/>
    <w:rsid w:val="00C715F6"/>
    <w:rsid w:val="00C8094E"/>
    <w:rsid w:val="00C81479"/>
    <w:rsid w:val="00C85C6F"/>
    <w:rsid w:val="00C86B7E"/>
    <w:rsid w:val="00C96FB9"/>
    <w:rsid w:val="00CA253C"/>
    <w:rsid w:val="00CB636F"/>
    <w:rsid w:val="00CB7641"/>
    <w:rsid w:val="00CC0D90"/>
    <w:rsid w:val="00CC3F20"/>
    <w:rsid w:val="00CD0150"/>
    <w:rsid w:val="00CD3513"/>
    <w:rsid w:val="00CD59A8"/>
    <w:rsid w:val="00CE1D54"/>
    <w:rsid w:val="00CE36F7"/>
    <w:rsid w:val="00CF20A2"/>
    <w:rsid w:val="00D02825"/>
    <w:rsid w:val="00D0296F"/>
    <w:rsid w:val="00D0627B"/>
    <w:rsid w:val="00D06CF4"/>
    <w:rsid w:val="00D16F89"/>
    <w:rsid w:val="00D25297"/>
    <w:rsid w:val="00D310AC"/>
    <w:rsid w:val="00D326F4"/>
    <w:rsid w:val="00D327E9"/>
    <w:rsid w:val="00D41094"/>
    <w:rsid w:val="00D44A98"/>
    <w:rsid w:val="00D57BEB"/>
    <w:rsid w:val="00D57CD0"/>
    <w:rsid w:val="00D6021A"/>
    <w:rsid w:val="00D60B68"/>
    <w:rsid w:val="00D648E6"/>
    <w:rsid w:val="00D67D09"/>
    <w:rsid w:val="00D776B7"/>
    <w:rsid w:val="00D806B5"/>
    <w:rsid w:val="00D830D9"/>
    <w:rsid w:val="00D856D9"/>
    <w:rsid w:val="00DA120B"/>
    <w:rsid w:val="00DA342E"/>
    <w:rsid w:val="00DB26C1"/>
    <w:rsid w:val="00DB42ED"/>
    <w:rsid w:val="00DC0BB6"/>
    <w:rsid w:val="00DD2A31"/>
    <w:rsid w:val="00DD7876"/>
    <w:rsid w:val="00DE02CF"/>
    <w:rsid w:val="00DE5545"/>
    <w:rsid w:val="00DF2342"/>
    <w:rsid w:val="00DF7141"/>
    <w:rsid w:val="00E00815"/>
    <w:rsid w:val="00E01A0E"/>
    <w:rsid w:val="00E10B1B"/>
    <w:rsid w:val="00E14936"/>
    <w:rsid w:val="00E14FEF"/>
    <w:rsid w:val="00E17B15"/>
    <w:rsid w:val="00E20B59"/>
    <w:rsid w:val="00E23D80"/>
    <w:rsid w:val="00E23EB8"/>
    <w:rsid w:val="00E33C21"/>
    <w:rsid w:val="00E35B20"/>
    <w:rsid w:val="00E40C43"/>
    <w:rsid w:val="00E42A63"/>
    <w:rsid w:val="00E472C2"/>
    <w:rsid w:val="00E54840"/>
    <w:rsid w:val="00E551A1"/>
    <w:rsid w:val="00E566AE"/>
    <w:rsid w:val="00E60E4A"/>
    <w:rsid w:val="00E63D1B"/>
    <w:rsid w:val="00E65B63"/>
    <w:rsid w:val="00E73169"/>
    <w:rsid w:val="00E742A1"/>
    <w:rsid w:val="00E770B3"/>
    <w:rsid w:val="00E7745F"/>
    <w:rsid w:val="00E77B06"/>
    <w:rsid w:val="00E83C2A"/>
    <w:rsid w:val="00EA2E60"/>
    <w:rsid w:val="00EA5DAF"/>
    <w:rsid w:val="00EB1554"/>
    <w:rsid w:val="00EC2E54"/>
    <w:rsid w:val="00EC6663"/>
    <w:rsid w:val="00ED2ECE"/>
    <w:rsid w:val="00ED364A"/>
    <w:rsid w:val="00ED39B5"/>
    <w:rsid w:val="00EE1079"/>
    <w:rsid w:val="00EE2C70"/>
    <w:rsid w:val="00EE4513"/>
    <w:rsid w:val="00EE7533"/>
    <w:rsid w:val="00EF57AE"/>
    <w:rsid w:val="00F05566"/>
    <w:rsid w:val="00F10593"/>
    <w:rsid w:val="00F10977"/>
    <w:rsid w:val="00F24561"/>
    <w:rsid w:val="00F2589D"/>
    <w:rsid w:val="00F263F8"/>
    <w:rsid w:val="00F273BF"/>
    <w:rsid w:val="00F34019"/>
    <w:rsid w:val="00F41126"/>
    <w:rsid w:val="00F45E1F"/>
    <w:rsid w:val="00F539EB"/>
    <w:rsid w:val="00F571FA"/>
    <w:rsid w:val="00F72056"/>
    <w:rsid w:val="00F72892"/>
    <w:rsid w:val="00F8070D"/>
    <w:rsid w:val="00F814FE"/>
    <w:rsid w:val="00F91777"/>
    <w:rsid w:val="00F96E64"/>
    <w:rsid w:val="00FA4F9C"/>
    <w:rsid w:val="00FB0227"/>
    <w:rsid w:val="00FC2FC5"/>
    <w:rsid w:val="00FC520D"/>
    <w:rsid w:val="00FC6961"/>
    <w:rsid w:val="00FD711F"/>
    <w:rsid w:val="00FD7B46"/>
    <w:rsid w:val="00FE548D"/>
    <w:rsid w:val="00FF3CC9"/>
    <w:rsid w:val="2788263B"/>
    <w:rsid w:val="48DC74CA"/>
    <w:rsid w:val="5AB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qFormat/>
    <w:uiPriority w:val="0"/>
    <w:rPr>
      <w:b/>
      <w:bCs/>
      <w:szCs w:val="24"/>
    </w:rPr>
  </w:style>
  <w:style w:type="paragraph" w:styleId="3">
    <w:name w:val="annotation text"/>
    <w:basedOn w:val="1"/>
    <w:link w:val="19"/>
    <w:qFormat/>
    <w:uiPriority w:val="0"/>
    <w:pPr>
      <w:jc w:val="left"/>
    </w:pPr>
    <w:rPr>
      <w:szCs w:val="20"/>
    </w:rPr>
  </w:style>
  <w:style w:type="paragraph" w:styleId="4">
    <w:name w:val="Normal Indent"/>
    <w:basedOn w:val="1"/>
    <w:link w:val="14"/>
    <w:qFormat/>
    <w:uiPriority w:val="0"/>
    <w:pPr>
      <w:spacing w:before="60"/>
      <w:ind w:firstLine="420" w:firstLineChars="200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14">
    <w:name w:val="正文缩进 Char"/>
    <w:basedOn w:val="10"/>
    <w:link w:val="4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5">
    <w:name w:val="Char Char Char Char"/>
    <w:basedOn w:val="5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character" w:customStyle="1" w:styleId="16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0"/>
    <w:link w:val="3"/>
    <w:uiPriority w:val="0"/>
    <w:rPr>
      <w:kern w:val="2"/>
      <w:sz w:val="21"/>
    </w:rPr>
  </w:style>
  <w:style w:type="character" w:customStyle="1" w:styleId="20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主题 Char"/>
    <w:basedOn w:val="19"/>
    <w:link w:val="2"/>
    <w:uiPriority w:val="0"/>
    <w:rPr>
      <w:b/>
      <w:bCs/>
      <w:szCs w:val="24"/>
    </w:rPr>
  </w:style>
  <w:style w:type="paragraph" w:customStyle="1" w:styleId="2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1C2BA-7E65-4284-A0A6-8309E428F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ScaleCrop>false</ScaleCrop>
  <LinksUpToDate>false</LinksUpToDate>
  <CharactersWithSpaces>1010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2017-11-03T01:43:00Z</dcterms:created>
  <dc:creator>Zhangweiqiang</dc:creator>
  <cp:lastModifiedBy>Administrator</cp:lastModifiedBy>
  <cp:lastPrinted>2017-11-06T00:17:00Z</cp:lastPrinted>
  <dcterms:modified xsi:type="dcterms:W3CDTF">2018-04-18T07:03:05Z</dcterms:modified>
  <dc:title>电动综合手术床技术规格要求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