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  <w:lang w:eastAsia="zh-CN"/>
        </w:rPr>
        <w:t>试剂（</w:t>
      </w:r>
      <w:r>
        <w:rPr>
          <w:rFonts w:hint="eastAsia"/>
          <w:b/>
          <w:bCs/>
          <w:szCs w:val="21"/>
          <w:lang w:val="en-US" w:eastAsia="zh-CN"/>
        </w:rPr>
        <w:t>1</w:t>
      </w:r>
      <w:r>
        <w:rPr>
          <w:rFonts w:hint="eastAsia"/>
          <w:b/>
          <w:bCs/>
          <w:szCs w:val="21"/>
          <w:lang w:eastAsia="zh-CN"/>
        </w:rPr>
        <w:t>）</w:t>
      </w:r>
      <w:r>
        <w:rPr>
          <w:rFonts w:hint="eastAsia"/>
          <w:b/>
          <w:bCs/>
          <w:szCs w:val="21"/>
        </w:rPr>
        <w:t>技术参数</w:t>
      </w:r>
    </w:p>
    <w:p>
      <w:pPr>
        <w:jc w:val="center"/>
        <w:rPr>
          <w:b/>
          <w:bCs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产品名称：</w:t>
      </w:r>
      <w:r>
        <w:rPr>
          <w:rFonts w:hint="eastAsia" w:ascii="宋体" w:hAnsi="宋体"/>
          <w:szCs w:val="21"/>
        </w:rPr>
        <w:t>吸入性食物性</w:t>
      </w:r>
      <w:r>
        <w:rPr>
          <w:rFonts w:hint="eastAsia"/>
          <w:szCs w:val="21"/>
        </w:rPr>
        <w:t>过敏原特异性抗体IgE检测试剂盒（免疫印迹法）</w:t>
      </w:r>
    </w:p>
    <w:p>
      <w:pPr>
        <w:rPr>
          <w:szCs w:val="21"/>
        </w:rPr>
      </w:pPr>
      <w:r>
        <w:rPr>
          <w:rFonts w:hint="eastAsia" w:ascii="宋体" w:hAnsi="宋体"/>
          <w:b/>
          <w:szCs w:val="21"/>
        </w:rPr>
        <w:t>规格</w:t>
      </w:r>
      <w:r>
        <w:rPr>
          <w:rFonts w:hint="eastAsia" w:ascii="宋体" w:hAnsi="宋体"/>
          <w:szCs w:val="21"/>
        </w:rPr>
        <w:t>：20人份</w:t>
      </w:r>
      <w:r>
        <w:rPr>
          <w:rFonts w:hint="eastAsia"/>
          <w:szCs w:val="21"/>
        </w:rPr>
        <w:t>/盒</w:t>
      </w: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产品用途：</w:t>
      </w:r>
      <w:r>
        <w:rPr>
          <w:rFonts w:hint="eastAsia"/>
          <w:szCs w:val="21"/>
        </w:rPr>
        <w:t>该产品用于定性检测人血清中过敏原特异性IgE水平，检测项目：</w:t>
      </w:r>
      <w:r>
        <w:rPr>
          <w:rFonts w:hint="eastAsia" w:ascii="宋体" w:hAnsi="宋体"/>
          <w:szCs w:val="21"/>
        </w:rPr>
        <w:t>共21位点，30项目：、屋尘螨/户尘螨、屋尘、蟑螂、狗毛皮屑、猫毛皮屑、矮豚草、艾蒿、葎草、霉菌组合（点青霉/交链孢霉/烟曲霉/分枝孢霉）、树花粉组合（栎树/榆树/梧桐/柳树/杨树）、鸡蛋白、牛奶、牛肉、羊肉、蟹、虾、鳕鱼、鲑鱼、龙虾/扇贝、花生、黄豆</w:t>
      </w:r>
    </w:p>
    <w:p>
      <w:pPr>
        <w:rPr>
          <w:szCs w:val="21"/>
        </w:rPr>
      </w:pPr>
      <w:r>
        <w:rPr>
          <w:rFonts w:hint="eastAsia"/>
          <w:szCs w:val="21"/>
        </w:rPr>
        <w:t>主要技术参数和要求：</w:t>
      </w:r>
    </w:p>
    <w:p>
      <w:pPr>
        <w:numPr>
          <w:ilvl w:val="0"/>
          <w:numId w:val="1"/>
        </w:num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检测方法：免疫印迹法，血清检测。</w:t>
      </w:r>
    </w:p>
    <w:p>
      <w:pPr>
        <w:numPr>
          <w:ilvl w:val="0"/>
          <w:numId w:val="1"/>
        </w:num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检测位点：21个位点。</w:t>
      </w:r>
    </w:p>
    <w:p>
      <w:pPr>
        <w:numPr>
          <w:ilvl w:val="0"/>
          <w:numId w:val="1"/>
        </w:num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检测区间：</w:t>
      </w:r>
      <w:r>
        <w:rPr>
          <w:rFonts w:ascii="Arial" w:hAnsi="Arial" w:cs="Arial"/>
          <w:b/>
          <w:bCs/>
          <w:szCs w:val="21"/>
        </w:rPr>
        <w:t>≥</w:t>
      </w:r>
      <w:r>
        <w:rPr>
          <w:rFonts w:hint="eastAsia" w:ascii="Arial" w:hAnsi="Arial" w:cs="Arial"/>
          <w:b/>
          <w:bCs/>
          <w:szCs w:val="21"/>
        </w:rPr>
        <w:t>0.35IU/ml</w:t>
      </w:r>
    </w:p>
    <w:p>
      <w:pPr>
        <w:numPr>
          <w:ilvl w:val="0"/>
          <w:numId w:val="1"/>
        </w:num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适用仪器：手工或全自动免疫印迹仪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b/>
          <w:bCs/>
          <w:szCs w:val="21"/>
        </w:rPr>
        <w:t>主要性能指标</w:t>
      </w:r>
      <w:r>
        <w:rPr>
          <w:rFonts w:hint="eastAsia"/>
          <w:szCs w:val="21"/>
        </w:rPr>
        <w:t>：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最低检出量：用最低检出量质控品进行检测，不高于0.35IU/ml。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阴性质控品符合率：阴性质控品结果判读为阴性结果，阴性质控品符合率为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100%。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阳性质控品符合率：阳性质控品结果判读符合阳性质控品性质，阳性质控品符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合率为100%。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精密度：以某一浓度的人IgE校准品重复测定（n=10）,反应结果一致，显色度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均一。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交叉反应：与5.0IU/ml人IgA、IgG、IgM无交叉反应；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由于两种或两种以上过敏原蛋白在结构上的相似，使它们竞争IgE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抗体的结合 表位，引起交叉反应。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临床灵敏度：＞95.0%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临床特异性：＞98.0%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b/>
          <w:bCs/>
          <w:szCs w:val="21"/>
        </w:rPr>
        <w:t>资质</w:t>
      </w:r>
      <w:r>
        <w:rPr>
          <w:rFonts w:hint="eastAsia"/>
          <w:szCs w:val="21"/>
        </w:rPr>
        <w:t>：国家食品药品监督管理局批准的三类体外诊断试剂证书。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jc w:val="center"/>
        <w:rPr>
          <w:rFonts w:hint="eastAsia"/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  <w:lang w:eastAsia="zh-CN"/>
        </w:rPr>
        <w:t>试剂（</w:t>
      </w:r>
      <w:r>
        <w:rPr>
          <w:rFonts w:hint="eastAsia"/>
          <w:b/>
          <w:bCs/>
          <w:szCs w:val="21"/>
          <w:lang w:val="en-US" w:eastAsia="zh-CN"/>
        </w:rPr>
        <w:t>2</w:t>
      </w:r>
      <w:r>
        <w:rPr>
          <w:rFonts w:hint="eastAsia"/>
          <w:b/>
          <w:bCs/>
          <w:szCs w:val="21"/>
          <w:lang w:eastAsia="zh-CN"/>
        </w:rPr>
        <w:t>）</w:t>
      </w:r>
      <w:r>
        <w:rPr>
          <w:rFonts w:hint="eastAsia"/>
          <w:b/>
          <w:bCs/>
          <w:szCs w:val="21"/>
        </w:rPr>
        <w:t>技术参数</w:t>
      </w:r>
    </w:p>
    <w:p>
      <w:pPr>
        <w:jc w:val="center"/>
        <w:rPr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产品名称：总IgE检测试剂盒（胶体金法）</w:t>
      </w:r>
    </w:p>
    <w:p>
      <w:pPr>
        <w:rPr>
          <w:szCs w:val="21"/>
        </w:rPr>
      </w:pPr>
      <w:r>
        <w:rPr>
          <w:rFonts w:hint="eastAsia"/>
          <w:b/>
          <w:szCs w:val="21"/>
        </w:rPr>
        <w:t>规格</w:t>
      </w:r>
      <w:r>
        <w:rPr>
          <w:rFonts w:hint="eastAsia"/>
          <w:szCs w:val="21"/>
        </w:rPr>
        <w:t>：</w:t>
      </w:r>
      <w:r>
        <w:rPr>
          <w:rFonts w:hint="eastAsia" w:ascii="宋体" w:hAnsi="宋体"/>
          <w:szCs w:val="21"/>
        </w:rPr>
        <w:t>规格：20人份</w:t>
      </w:r>
      <w:r>
        <w:rPr>
          <w:rFonts w:hint="eastAsia"/>
          <w:szCs w:val="21"/>
        </w:rPr>
        <w:t>/盒</w:t>
      </w: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产品用途：</w:t>
      </w:r>
      <w:r>
        <w:rPr>
          <w:rFonts w:hint="eastAsia"/>
          <w:szCs w:val="21"/>
        </w:rPr>
        <w:t>该产品用于定性检测人血清中总IgE抗体含量。</w:t>
      </w:r>
    </w:p>
    <w:p>
      <w:pPr>
        <w:rPr>
          <w:szCs w:val="21"/>
        </w:rPr>
      </w:pPr>
      <w:r>
        <w:rPr>
          <w:rFonts w:hint="eastAsia"/>
          <w:szCs w:val="21"/>
        </w:rPr>
        <w:t>主要技术参数和要求：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1.检测方法：胶体金法，血清检测。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2.检测位点：总IgE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3.检测区间：</w:t>
      </w:r>
      <w:r>
        <w:rPr>
          <w:rFonts w:ascii="Arial" w:hAnsi="Arial" w:cs="Arial"/>
          <w:b/>
          <w:bCs/>
          <w:szCs w:val="21"/>
        </w:rPr>
        <w:t>≥</w:t>
      </w:r>
      <w:r>
        <w:rPr>
          <w:rFonts w:hint="eastAsia" w:ascii="Arial" w:hAnsi="Arial" w:cs="Arial"/>
          <w:b/>
          <w:bCs/>
          <w:szCs w:val="21"/>
        </w:rPr>
        <w:t>87IU/ml</w:t>
      </w: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5.适用仪器：无需仪器</w:t>
      </w:r>
      <w:bookmarkStart w:id="2" w:name="_GoBack"/>
      <w:bookmarkEnd w:id="2"/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6.主要性能指标</w:t>
      </w:r>
      <w:r>
        <w:rPr>
          <w:rFonts w:hint="eastAsia"/>
          <w:szCs w:val="21"/>
        </w:rPr>
        <w:t>：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最低检出量：用最低检出量质控品进行检测，不高于87IU/ml。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阴性质控品符合率：阴性质控品结果判读为阴性结果，阴性质控品符合率为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100%。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阳性质控品符合率：阳性质控品结果判读符合阳性质控品性质，阳性质控品符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合率为100%。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精密度：以某一浓度的人IgE校准品重复测定（n=10）,反应结果一致，显色度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均一。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交叉反应：与5.0IU/ml人IgA、IgG、IgM无交叉反应；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临床灵敏度：＞86.5%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临床特异性：＞97.7%</w:t>
      </w: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7.资质</w:t>
      </w:r>
      <w:r>
        <w:rPr>
          <w:rFonts w:hint="eastAsia"/>
          <w:szCs w:val="21"/>
        </w:rPr>
        <w:t>：国家食品药品监督管理局批准的三类体外诊断试剂证书。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jc w:val="center"/>
        <w:outlineLvl w:val="1"/>
        <w:rPr>
          <w:rFonts w:hint="eastAsia" w:ascii="Times New Roman" w:hAnsi="Times New Roman" w:eastAsia="宋体" w:cs="Times New Roman"/>
          <w:b/>
          <w:szCs w:val="21"/>
        </w:rPr>
      </w:pPr>
      <w:bookmarkStart w:id="0" w:name="_Toc419046529"/>
    </w:p>
    <w:p>
      <w:pPr>
        <w:jc w:val="center"/>
        <w:outlineLvl w:val="1"/>
        <w:rPr>
          <w:rFonts w:hint="eastAsia" w:ascii="Times New Roman" w:hAnsi="Times New Roman" w:eastAsia="宋体" w:cs="Times New Roman"/>
          <w:b/>
          <w:szCs w:val="21"/>
        </w:rPr>
      </w:pPr>
    </w:p>
    <w:p>
      <w:pPr>
        <w:jc w:val="center"/>
        <w:outlineLvl w:val="1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全自动免疫印迹仪产品技术参数</w:t>
      </w:r>
      <w:bookmarkEnd w:id="0"/>
    </w:p>
    <w:p>
      <w:pPr>
        <w:jc w:val="center"/>
        <w:outlineLvl w:val="1"/>
        <w:rPr>
          <w:rFonts w:ascii="Times New Roman" w:hAnsi="Times New Roman" w:eastAsia="宋体" w:cs="Times New Roman"/>
          <w:b/>
          <w:szCs w:val="21"/>
        </w:rPr>
      </w:pPr>
    </w:p>
    <w:tbl>
      <w:tblPr>
        <w:tblStyle w:val="5"/>
        <w:tblW w:w="8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电源条件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AC</w:t>
            </w:r>
            <w:r>
              <w:rPr>
                <w:rFonts w:ascii="Times New Roman" w:hAnsi="Times New Roman" w:eastAsia="宋体" w:cs="Times New Roman"/>
                <w:szCs w:val="21"/>
              </w:rPr>
              <w:t>220V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输入</w:t>
            </w:r>
            <w:r>
              <w:rPr>
                <w:rFonts w:ascii="Times New Roman" w:hAnsi="Times New Roman" w:eastAsia="宋体" w:cs="Times New Roman"/>
                <w:szCs w:val="21"/>
              </w:rPr>
              <w:t>功率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150VA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防电击类型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I类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最大声功率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68 dBA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大气压力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76kPa~106kPa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显示屏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液晶显示器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反应槽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存储的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检测</w:t>
            </w:r>
            <w:r>
              <w:rPr>
                <w:rFonts w:ascii="Times New Roman" w:hAnsi="Times New Roman" w:eastAsia="宋体" w:cs="Times New Roman"/>
                <w:szCs w:val="21"/>
              </w:rPr>
              <w:t>程序数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标本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数量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1~45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人份测试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检测步骤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1~14步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润湿时间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~</w:t>
            </w: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孵育</w:t>
            </w:r>
            <w:r>
              <w:rPr>
                <w:rFonts w:ascii="Times New Roman" w:hAnsi="Times New Roman" w:eastAsia="宋体" w:cs="Times New Roman"/>
                <w:szCs w:val="21"/>
              </w:rPr>
              <w:t>时间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~99分钟，步距1分钟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洗涤次数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~</w:t>
            </w:r>
            <w:r>
              <w:rPr>
                <w:rFonts w:ascii="Times New Roman" w:hAnsi="Times New Roman" w:eastAsia="宋体" w:cs="Times New Roman"/>
                <w:szCs w:val="21"/>
              </w:rPr>
              <w:t>10次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加</w:t>
            </w:r>
            <w:r>
              <w:rPr>
                <w:rFonts w:ascii="Times New Roman" w:hAnsi="Times New Roman" w:eastAsia="宋体" w:cs="Times New Roman"/>
                <w:szCs w:val="21"/>
              </w:rPr>
              <w:t>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范围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~</w:t>
            </w:r>
            <w:r>
              <w:rPr>
                <w:rFonts w:ascii="Times New Roman" w:hAnsi="Times New Roman" w:eastAsia="宋体" w:cs="Times New Roman"/>
                <w:szCs w:val="21"/>
              </w:rPr>
              <w:t>500μ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l，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步距50μl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吸干时间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~</w:t>
            </w:r>
            <w:r>
              <w:rPr>
                <w:rFonts w:ascii="Times New Roman" w:hAnsi="Times New Roman" w:eastAsia="宋体" w:cs="Times New Roman"/>
                <w:szCs w:val="21"/>
              </w:rPr>
              <w:t>20s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吸液残留量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≤20</w:t>
            </w:r>
            <w:r>
              <w:rPr>
                <w:rFonts w:ascii="Times New Roman" w:hAnsi="Times New Roman" w:eastAsia="宋体" w:cs="Times New Roman"/>
                <w:szCs w:val="21"/>
              </w:rPr>
              <w:t>μl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摇摆摇床摇摆模式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“</w:t>
            </w:r>
            <w:r>
              <w:rPr>
                <w:rFonts w:ascii="Times New Roman" w:hAnsi="Times New Roman" w:eastAsia="宋体" w:cs="Times New Roman"/>
                <w:szCs w:val="21"/>
              </w:rPr>
              <w:t>快速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”</w:t>
            </w:r>
            <w:r>
              <w:rPr>
                <w:rFonts w:ascii="Times New Roman" w:hAnsi="Times New Roman" w:eastAsia="宋体" w:cs="Times New Roman"/>
                <w:szCs w:val="21"/>
              </w:rPr>
              <w:t>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“</w:t>
            </w:r>
            <w:r>
              <w:rPr>
                <w:rFonts w:ascii="Times New Roman" w:hAnsi="Times New Roman" w:eastAsia="宋体" w:cs="Times New Roman"/>
                <w:szCs w:val="21"/>
              </w:rPr>
              <w:t>慢速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”两档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液体</w:t>
            </w:r>
            <w:r>
              <w:rPr>
                <w:rFonts w:ascii="Times New Roman" w:hAnsi="Times New Roman" w:eastAsia="宋体" w:cs="Times New Roman"/>
                <w:szCs w:val="21"/>
              </w:rPr>
              <w:t>通道数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液泵数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分液体积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~</w:t>
            </w:r>
            <w:r>
              <w:rPr>
                <w:rFonts w:ascii="Times New Roman" w:hAnsi="Times New Roman" w:eastAsia="宋体" w:cs="Times New Roman"/>
                <w:szCs w:val="21"/>
              </w:rPr>
              <w:t>500μ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显示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屏</w:t>
            </w:r>
            <w:r>
              <w:rPr>
                <w:rFonts w:ascii="Times New Roman" w:hAnsi="Times New Roman" w:eastAsia="宋体" w:cs="Times New Roman"/>
                <w:szCs w:val="21"/>
              </w:rPr>
              <w:t>尺寸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115mm</w:t>
            </w:r>
            <w:r>
              <w:rPr>
                <w:rFonts w:hint="eastAsia" w:ascii="宋体" w:hAnsi="宋体" w:eastAsia="宋体" w:cs="Times New Roman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szCs w:val="21"/>
              </w:rPr>
              <w:t>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尺寸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1" w:name="OLE_LINK14"/>
            <w:r>
              <w:rPr>
                <w:rFonts w:ascii="Times New Roman" w:hAnsi="Times New Roman" w:eastAsia="宋体" w:cs="Times New Roman"/>
                <w:szCs w:val="21"/>
              </w:rPr>
              <w:t>840mm</w:t>
            </w:r>
            <w:r>
              <w:rPr>
                <w:rFonts w:hint="eastAsia" w:ascii="宋体" w:hAnsi="宋体" w:eastAsia="宋体" w:cs="Times New Roman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420 mm </w:t>
            </w:r>
            <w:r>
              <w:rPr>
                <w:rFonts w:hint="eastAsia" w:ascii="宋体" w:hAnsi="宋体" w:eastAsia="宋体" w:cs="Times New Roman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500 mm 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重量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毛重45 kg，净重38.5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运行条件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运行温度：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  <w:r>
              <w:rPr>
                <w:rFonts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运行湿度：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0%-70%。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4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电磁兼容性</w:t>
            </w:r>
          </w:p>
        </w:tc>
        <w:tc>
          <w:tcPr>
            <w:tcW w:w="669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符合GB18268.1-2010的要求：属于A类设备，用于工业环境中，不适用于非家用和不直接连接到住宅低压供电网设施中。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（1）发射要求：应符合GB4824-2013中1组A类要求。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（2）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抗扰度要求：应符合</w:t>
            </w:r>
            <w:r>
              <w:rPr>
                <w:rFonts w:ascii="Times New Roman" w:hAnsi="Times New Roman" w:eastAsia="宋体" w:cs="Times New Roman"/>
                <w:color w:val="000000"/>
              </w:rPr>
              <w:t>GB18268.1-2010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中</w:t>
            </w:r>
            <w:r>
              <w:rPr>
                <w:rFonts w:hint="eastAsia" w:ascii="Times New Roman" w:hAnsi="Times New Roman" w:eastAsia="宋体" w:cs="Times New Roman"/>
              </w:rPr>
              <w:t>工业场所用设备的抗扰度试验要求。</w:t>
            </w:r>
          </w:p>
          <w:tbl>
            <w:tblPr>
              <w:tblStyle w:val="5"/>
              <w:tblW w:w="646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8"/>
              <w:gridCol w:w="1134"/>
              <w:gridCol w:w="1548"/>
              <w:gridCol w:w="1936"/>
              <w:gridCol w:w="6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28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端口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试验项目</w:t>
                  </w:r>
                </w:p>
              </w:tc>
              <w:tc>
                <w:tcPr>
                  <w:tcW w:w="1548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基础标准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试验值</w:t>
                  </w:r>
                </w:p>
              </w:tc>
              <w:tc>
                <w:tcPr>
                  <w:tcW w:w="619" w:type="dxa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性能判断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1228" w:type="dxa"/>
                  <w:vMerge w:val="restar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外壳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静电放电（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ESD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17626.2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接触放电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4kV;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空气放电8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kV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5" w:hRule="atLeast"/>
              </w:trPr>
              <w:tc>
                <w:tcPr>
                  <w:tcW w:w="1228" w:type="dxa"/>
                  <w:vMerge w:val="continue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射频电磁场</w:t>
                  </w:r>
                </w:p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额定工频磁场</w:t>
                  </w:r>
                </w:p>
              </w:tc>
              <w:tc>
                <w:tcPr>
                  <w:tcW w:w="1548" w:type="dxa"/>
                </w:tcPr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17626.3</w:t>
                  </w:r>
                </w:p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GB/T 17626.8</w:t>
                  </w:r>
                </w:p>
              </w:tc>
              <w:tc>
                <w:tcPr>
                  <w:tcW w:w="1936" w:type="dxa"/>
                </w:tcPr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10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V/m(80MHz-1GHz)</w:t>
                  </w:r>
                </w:p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3V/m(1.4GHz-2GHz)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1V/m(2.0GHz-2.7GHz)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30A/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>e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A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1228" w:type="dxa"/>
                  <w:vMerge w:val="restar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交流电源（包括保护接地）</w:t>
                  </w:r>
                </w:p>
              </w:tc>
              <w:tc>
                <w:tcPr>
                  <w:tcW w:w="1134" w:type="dxa"/>
                  <w:vMerge w:val="restart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电压暂降</w:t>
                  </w:r>
                </w:p>
              </w:tc>
              <w:tc>
                <w:tcPr>
                  <w:tcW w:w="1548" w:type="dxa"/>
                  <w:vMerge w:val="restart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17626.11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0%1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周期</w:t>
                  </w:r>
                </w:p>
              </w:tc>
              <w:tc>
                <w:tcPr>
                  <w:tcW w:w="619" w:type="dxa"/>
                </w:tcPr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1228" w:type="dxa"/>
                  <w:vMerge w:val="continue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continue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8" w:type="dxa"/>
                  <w:vMerge w:val="continue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40%10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周期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228" w:type="dxa"/>
                  <w:vMerge w:val="continue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continue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8" w:type="dxa"/>
                  <w:vMerge w:val="continue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70%25/30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>e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周期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1228" w:type="dxa"/>
                  <w:vMerge w:val="continue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短时中断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17626.11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0%250/300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>e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周期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1228" w:type="dxa"/>
                  <w:vMerge w:val="continue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脉冲群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17626.4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2kV(5/50 ns,5kHz)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0" w:hRule="atLeast"/>
              </w:trPr>
              <w:tc>
                <w:tcPr>
                  <w:tcW w:w="1228" w:type="dxa"/>
                  <w:vMerge w:val="continue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浪涌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17626.5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1kV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>a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/2kV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4" w:hRule="atLeast"/>
              </w:trPr>
              <w:tc>
                <w:tcPr>
                  <w:tcW w:w="1228" w:type="dxa"/>
                  <w:vMerge w:val="continue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射频场感应的传导骚扰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17626.6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3V(150kHz-80MHz)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1228" w:type="dxa"/>
                  <w:vMerge w:val="restar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I/O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信号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/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控制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包括功能接地端口的连接线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脉冲群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17626.4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1kV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>d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(5/50 ns,5kHz)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0" w:hRule="atLeast"/>
              </w:trPr>
              <w:tc>
                <w:tcPr>
                  <w:tcW w:w="1228" w:type="dxa"/>
                  <w:vMerge w:val="continue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浪涌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17626.5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1kV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>b,c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1228" w:type="dxa"/>
                  <w:vMerge w:val="continue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射频场感应的传导骚扰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17626.6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3V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>d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(150kHz-80MHz)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1228" w:type="dxa"/>
                  <w:vMerge w:val="restart"/>
                  <w:vAlign w:val="center"/>
                </w:tcPr>
                <w:p>
                  <w:pPr>
                    <w:spacing w:line="220" w:lineRule="atLeast"/>
                    <w:jc w:val="center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直接与电源相连的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I/O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信号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/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控制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脉冲群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17626.4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2kV(5/50 ns,5kHz)</w:t>
                  </w:r>
                </w:p>
              </w:tc>
              <w:tc>
                <w:tcPr>
                  <w:tcW w:w="619" w:type="dxa"/>
                </w:tcPr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0" w:hRule="atLeast"/>
              </w:trPr>
              <w:tc>
                <w:tcPr>
                  <w:tcW w:w="1228" w:type="dxa"/>
                  <w:vMerge w:val="continue"/>
                </w:tcPr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浪涌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17626.5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1kV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>a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/1kV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28" w:type="dxa"/>
                  <w:vMerge w:val="continue"/>
                </w:tcPr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射频场感应的传导骚扰</w:t>
                  </w:r>
                </w:p>
              </w:tc>
              <w:tc>
                <w:tcPr>
                  <w:tcW w:w="1548" w:type="dxa"/>
                </w:tcPr>
                <w:p>
                  <w:pPr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GB/T 17626.6</w:t>
                  </w:r>
                </w:p>
              </w:tc>
              <w:tc>
                <w:tcPr>
                  <w:tcW w:w="1936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3V(150kHz-80MHz)</w:t>
                  </w:r>
                </w:p>
              </w:tc>
              <w:tc>
                <w:tcPr>
                  <w:tcW w:w="619" w:type="dxa"/>
                </w:tcPr>
                <w:p>
                  <w:pP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65" w:type="dxa"/>
                  <w:gridSpan w:val="5"/>
                </w:tcPr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 xml:space="preserve">a 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线对线。</w:t>
                  </w:r>
                </w:p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 xml:space="preserve">b 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线对地。</w:t>
                  </w:r>
                </w:p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c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仅适用于长距离线的情况（见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3.6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）。</w:t>
                  </w:r>
                </w:p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 xml:space="preserve">d 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仅适用于线路长度超过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3m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的情况。</w:t>
                  </w:r>
                </w:p>
                <w:p>
                  <w:pPr>
                    <w:spacing w:line="220" w:lineRule="atLeast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“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25/30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周期”表示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25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周期适用于额定频率为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50Hz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的试验，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30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周期适用于额定频率为</w:t>
                  </w:r>
                  <w:r>
                    <w:rPr>
                      <w:rFonts w:ascii="Times New Roman" w:hAnsi="Times New Roman" w:eastAsia="宋体" w:cs="Times New Roman"/>
                      <w:sz w:val="18"/>
                      <w:szCs w:val="18"/>
                    </w:rPr>
                    <w:t>60Hz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的试验。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/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24D54"/>
    <w:multiLevelType w:val="singleLevel"/>
    <w:tmpl w:val="58C24D5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44B7659"/>
    <w:rsid w:val="002154C7"/>
    <w:rsid w:val="002C5640"/>
    <w:rsid w:val="003146DF"/>
    <w:rsid w:val="00621559"/>
    <w:rsid w:val="00A10C85"/>
    <w:rsid w:val="00B673BE"/>
    <w:rsid w:val="00BF1D42"/>
    <w:rsid w:val="00C01202"/>
    <w:rsid w:val="00C043A0"/>
    <w:rsid w:val="044B7659"/>
    <w:rsid w:val="0C517F12"/>
    <w:rsid w:val="2506510D"/>
    <w:rsid w:val="2D6F7E1B"/>
    <w:rsid w:val="428019EB"/>
    <w:rsid w:val="42BC5888"/>
    <w:rsid w:val="439C3EB6"/>
    <w:rsid w:val="484771AA"/>
    <w:rsid w:val="49114A48"/>
    <w:rsid w:val="555E29AD"/>
    <w:rsid w:val="59CD2185"/>
    <w:rsid w:val="619A360E"/>
    <w:rsid w:val="72554C1F"/>
    <w:rsid w:val="7285527B"/>
    <w:rsid w:val="75A81A5A"/>
    <w:rsid w:val="78A22B8A"/>
    <w:rsid w:val="79637554"/>
    <w:rsid w:val="79F54F2F"/>
    <w:rsid w:val="7A3E1FC9"/>
    <w:rsid w:val="7ED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1776</Words>
  <Characters>1211</Characters>
  <Lines>10</Lines>
  <Paragraphs>5</Paragraphs>
  <ScaleCrop>false</ScaleCrop>
  <LinksUpToDate>false</LinksUpToDate>
  <CharactersWithSpaces>2982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2017-03-10T08:02:00Z</dcterms:created>
  <dc:creator>Administrator</dc:creator>
  <cp:lastModifiedBy>Administrator</cp:lastModifiedBy>
  <cp:lastPrinted>2018-04-18T06:06:00Z</cp:lastPrinted>
  <dcterms:modified xsi:type="dcterms:W3CDTF">2018-04-18T06:13:24Z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