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2560" w:firstLineChars="8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射线防护铅衣</w:t>
      </w:r>
      <w:r>
        <w:rPr>
          <w:rFonts w:hint="eastAsia" w:ascii="黑体" w:hAnsi="黑体" w:eastAsia="黑体"/>
          <w:sz w:val="32"/>
          <w:szCs w:val="32"/>
        </w:rPr>
        <w:t>产品技术参数</w:t>
      </w:r>
    </w:p>
    <w:p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一、</w:t>
      </w:r>
      <w:r>
        <w:rPr>
          <w:rFonts w:hint="eastAsia"/>
          <w:b/>
          <w:bCs/>
          <w:sz w:val="28"/>
          <w:szCs w:val="28"/>
        </w:rPr>
        <w:t>品名及数量</w:t>
      </w:r>
      <w:r>
        <w:rPr>
          <w:rFonts w:hint="eastAsia"/>
          <w:sz w:val="28"/>
          <w:szCs w:val="28"/>
        </w:rPr>
        <w:t>：</w:t>
      </w:r>
    </w:p>
    <w:p>
      <w:pPr>
        <w:ind w:firstLine="1120" w:firstLineChars="40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铅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衣：6套；铅帽4顶；铅手套2副；铅眼镜3副。</w:t>
      </w:r>
    </w:p>
    <w:p>
      <w:pPr>
        <w:ind w:left="838" w:leftChars="399" w:firstLine="0" w:firstLineChars="0"/>
        <w:rPr>
          <w:rFonts w:hint="eastAsia" w:ascii="新宋体" w:hAnsi="新宋体" w:eastAsia="新宋体" w:cs="新宋体"/>
          <w:b w:val="0"/>
          <w:bCs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规格、型号：均为连体式。 1套无袖，中号；5套带袖，中号3套，大号2套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>颜色适当搭配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eastAsia="zh-CN"/>
        </w:rPr>
        <w:t>、规格满足临床科室实际需求）</w:t>
      </w:r>
    </w:p>
    <w:p>
      <w:pPr>
        <w:ind w:firstLine="840" w:firstLineChars="300"/>
        <w:rPr>
          <w:rFonts w:hint="eastAsia" w:ascii="新宋体" w:hAnsi="新宋体" w:eastAsia="新宋体" w:cs="新宋体"/>
          <w:b w:val="0"/>
          <w:bCs w:val="0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sz w:val="28"/>
          <w:szCs w:val="28"/>
        </w:rPr>
        <w:t xml:space="preserve"> 附属设施：每套铅衣附带围脖、腰带</w:t>
      </w:r>
    </w:p>
    <w:p>
      <w:pPr>
        <w:pStyle w:val="7"/>
        <w:numPr>
          <w:ilvl w:val="0"/>
          <w:numId w:val="0"/>
        </w:numPr>
        <w:tabs>
          <w:tab w:val="left" w:pos="840"/>
        </w:tabs>
        <w:snapToGrid w:val="0"/>
        <w:spacing w:line="360" w:lineRule="auto"/>
        <w:ind w:firstLine="640" w:firstLineChars="200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</w:p>
    <w:p>
      <w:pPr>
        <w:pStyle w:val="7"/>
        <w:numPr>
          <w:ilvl w:val="0"/>
          <w:numId w:val="0"/>
        </w:numPr>
        <w:tabs>
          <w:tab w:val="left" w:pos="840"/>
        </w:tabs>
        <w:snapToGrid w:val="0"/>
        <w:spacing w:line="360" w:lineRule="auto"/>
        <w:ind w:firstLine="640" w:firstLineChars="200"/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技术参数</w:t>
      </w:r>
      <w:bookmarkStart w:id="0" w:name="_GoBack"/>
      <w:bookmarkEnd w:id="0"/>
    </w:p>
    <w:p>
      <w:pPr>
        <w:pStyle w:val="7"/>
        <w:numPr>
          <w:ilvl w:val="0"/>
          <w:numId w:val="0"/>
        </w:numPr>
        <w:tabs>
          <w:tab w:val="left" w:pos="840"/>
        </w:tabs>
        <w:snapToGrid w:val="0"/>
        <w:spacing w:line="360" w:lineRule="auto"/>
        <w:ind w:firstLine="48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  <w:lang w:val="en-US" w:eastAsia="zh-CN"/>
        </w:rPr>
        <w:t>1、</w:t>
      </w:r>
      <w:r>
        <w:rPr>
          <w:rFonts w:ascii="黑体" w:hAnsi="黑体" w:eastAsia="黑体"/>
          <w:color w:val="auto"/>
          <w:sz w:val="24"/>
          <w:szCs w:val="24"/>
        </w:rPr>
        <w:t>核心防护材料：</w:t>
      </w:r>
      <w:r>
        <w:rPr>
          <w:rFonts w:hint="eastAsia" w:ascii="黑体" w:hAnsi="黑体" w:eastAsia="黑体"/>
          <w:b/>
          <w:bCs/>
          <w:color w:val="auto"/>
          <w:sz w:val="24"/>
          <w:szCs w:val="24"/>
        </w:rPr>
        <w:t>微铅</w:t>
      </w:r>
      <w:r>
        <w:rPr>
          <w:rFonts w:hint="eastAsia" w:ascii="黑体" w:hAnsi="黑体" w:eastAsia="黑体"/>
          <w:color w:val="auto"/>
          <w:sz w:val="24"/>
          <w:szCs w:val="24"/>
        </w:rPr>
        <w:t>，</w:t>
      </w:r>
      <w:r>
        <w:rPr>
          <w:rFonts w:ascii="黑体" w:hAnsi="黑体" w:eastAsia="黑体" w:cs="微软雅黑 Light"/>
          <w:color w:val="auto"/>
          <w:sz w:val="24"/>
          <w:szCs w:val="24"/>
        </w:rPr>
        <w:t>稀贵金属与铅的复合</w:t>
      </w:r>
      <w:r>
        <w:rPr>
          <w:rFonts w:hint="eastAsia" w:ascii="黑体" w:hAnsi="黑体" w:eastAsia="黑体" w:cs="微软雅黑 Light"/>
          <w:color w:val="auto"/>
          <w:sz w:val="24"/>
          <w:szCs w:val="24"/>
        </w:rPr>
        <w:t>材料，采用纳米技术，有效衰减材料分布均匀；</w:t>
      </w:r>
    </w:p>
    <w:p>
      <w:pPr>
        <w:pStyle w:val="7"/>
        <w:numPr>
          <w:ilvl w:val="0"/>
          <w:numId w:val="1"/>
        </w:numPr>
        <w:tabs>
          <w:tab w:val="left" w:pos="840"/>
        </w:tabs>
        <w:snapToGrid w:val="0"/>
        <w:spacing w:line="360" w:lineRule="auto"/>
        <w:ind w:left="852" w:leftChars="200" w:hanging="432" w:hangingChars="18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通过</w:t>
      </w:r>
      <w:r>
        <w:rPr>
          <w:rFonts w:hint="eastAsia" w:ascii="黑体" w:hAnsi="黑体" w:eastAsia="黑体"/>
          <w:b/>
          <w:color w:val="auto"/>
          <w:sz w:val="24"/>
          <w:szCs w:val="24"/>
        </w:rPr>
        <w:t>IEC 61331-1:2014 国际电工学会测试</w:t>
      </w:r>
      <w:r>
        <w:rPr>
          <w:rFonts w:hint="eastAsia" w:ascii="黑体" w:hAnsi="黑体" w:eastAsia="黑体"/>
          <w:color w:val="auto"/>
          <w:sz w:val="24"/>
          <w:szCs w:val="24"/>
        </w:rPr>
        <w:t>（医用诊断X射线辐射防护器具 第1部分:材料衰减性能的测定），消除了荧光效应和“二次荧光辐射”给医务人员身体带来的伤害；</w:t>
      </w:r>
    </w:p>
    <w:p>
      <w:pPr>
        <w:pStyle w:val="7"/>
        <w:numPr>
          <w:ilvl w:val="0"/>
          <w:numId w:val="1"/>
        </w:numPr>
        <w:tabs>
          <w:tab w:val="left" w:pos="840"/>
        </w:tabs>
        <w:snapToGrid w:val="0"/>
        <w:spacing w:line="360" w:lineRule="auto"/>
        <w:ind w:left="852" w:leftChars="200" w:hanging="432" w:hangingChars="18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全球首家在宽束条件下测试，50kV-150kV范围通过测试和认证（国产检测范围80kV-120kV）；</w:t>
      </w:r>
    </w:p>
    <w:p>
      <w:pPr>
        <w:pStyle w:val="7"/>
        <w:numPr>
          <w:ilvl w:val="0"/>
          <w:numId w:val="1"/>
        </w:numPr>
        <w:tabs>
          <w:tab w:val="left" w:pos="840"/>
        </w:tabs>
        <w:snapToGrid w:val="0"/>
        <w:spacing w:line="360" w:lineRule="auto"/>
        <w:ind w:left="852" w:leftChars="200" w:hanging="432" w:hangingChars="180"/>
        <w:rPr>
          <w:rFonts w:ascii="黑体" w:hAnsi="黑体" w:eastAsia="黑体"/>
          <w:color w:val="auto"/>
          <w:sz w:val="24"/>
          <w:szCs w:val="24"/>
        </w:rPr>
      </w:pPr>
      <w:r>
        <w:rPr>
          <w:rFonts w:ascii="黑体" w:hAnsi="黑体" w:eastAsia="黑体"/>
          <w:color w:val="auto"/>
          <w:sz w:val="24"/>
          <w:szCs w:val="24"/>
        </w:rPr>
        <w:t>外层面料</w:t>
      </w:r>
      <w:r>
        <w:rPr>
          <w:rFonts w:hint="eastAsia" w:ascii="黑体" w:hAnsi="黑体" w:eastAsia="黑体"/>
          <w:color w:val="auto"/>
          <w:sz w:val="24"/>
          <w:szCs w:val="24"/>
        </w:rPr>
        <w:t>：抗腐蚀能力强，对应一切医用的消毒剂有很好的耐受性，防止铅衣防护层受到腐蚀；</w:t>
      </w:r>
    </w:p>
    <w:p>
      <w:pPr>
        <w:pStyle w:val="7"/>
        <w:numPr>
          <w:ilvl w:val="0"/>
          <w:numId w:val="1"/>
        </w:numPr>
        <w:tabs>
          <w:tab w:val="left" w:pos="840"/>
        </w:tabs>
        <w:snapToGrid w:val="0"/>
        <w:spacing w:line="360" w:lineRule="auto"/>
        <w:ind w:left="854" w:leftChars="200" w:hanging="434" w:hangingChars="18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b/>
          <w:bCs/>
          <w:color w:val="auto"/>
          <w:sz w:val="24"/>
          <w:szCs w:val="24"/>
        </w:rPr>
        <w:t>防护衣正面双面重叠，铅当量≥0.5mmPb，背面铅当量≥0.25mmPb，防护衣重量 5-6 kg；</w:t>
      </w:r>
    </w:p>
    <w:p>
      <w:pPr>
        <w:pStyle w:val="7"/>
        <w:numPr>
          <w:ilvl w:val="0"/>
          <w:numId w:val="1"/>
        </w:numPr>
        <w:tabs>
          <w:tab w:val="left" w:pos="840"/>
        </w:tabs>
        <w:snapToGrid w:val="0"/>
        <w:spacing w:line="360" w:lineRule="auto"/>
        <w:ind w:left="852" w:leftChars="200" w:hanging="432" w:hangingChars="18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产品认证：</w:t>
      </w:r>
    </w:p>
    <w:p>
      <w:pPr>
        <w:snapToGrid w:val="0"/>
        <w:spacing w:line="360" w:lineRule="auto"/>
        <w:ind w:left="1064" w:leftChars="400" w:hanging="224"/>
        <w:rPr>
          <w:rFonts w:ascii="黑体" w:hAnsi="黑体" w:eastAsia="黑体" w:cs="微软雅黑 Light"/>
          <w:color w:val="auto"/>
          <w:sz w:val="24"/>
          <w:szCs w:val="24"/>
        </w:rPr>
      </w:pPr>
      <w:r>
        <w:rPr>
          <w:rFonts w:hint="eastAsia" w:ascii="黑体" w:hAnsi="黑体" w:eastAsia="黑体" w:cs="微软雅黑 Light"/>
          <w:color w:val="auto"/>
          <w:sz w:val="24"/>
          <w:szCs w:val="24"/>
        </w:rPr>
        <w:t>1）</w:t>
      </w:r>
      <w:r>
        <w:rPr>
          <w:rFonts w:ascii="黑体" w:hAnsi="黑体" w:eastAsia="黑体" w:cs="微软雅黑 Light"/>
          <w:color w:val="auto"/>
          <w:sz w:val="24"/>
          <w:szCs w:val="24"/>
        </w:rPr>
        <w:t xml:space="preserve">IEC 61331-1:2014 </w:t>
      </w:r>
      <w:r>
        <w:rPr>
          <w:rFonts w:hint="eastAsia" w:ascii="黑体" w:hAnsi="黑体" w:eastAsia="黑体"/>
          <w:color w:val="auto"/>
          <w:sz w:val="24"/>
          <w:szCs w:val="24"/>
        </w:rPr>
        <w:t>国际电工委员会，</w:t>
      </w:r>
      <w:r>
        <w:rPr>
          <w:rFonts w:ascii="黑体" w:hAnsi="黑体" w:eastAsia="黑体" w:cs="微软雅黑 Light"/>
          <w:color w:val="auto"/>
          <w:sz w:val="24"/>
          <w:szCs w:val="24"/>
        </w:rPr>
        <w:t>医用诊断X射线辐射防护器具 第1部分:材料衰减性能的测定</w:t>
      </w:r>
    </w:p>
    <w:p>
      <w:pPr>
        <w:snapToGrid w:val="0"/>
        <w:spacing w:line="360" w:lineRule="auto"/>
        <w:ind w:left="1064" w:leftChars="400" w:hanging="224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 w:cs="微软雅黑 Light"/>
          <w:color w:val="auto"/>
          <w:sz w:val="24"/>
          <w:szCs w:val="24"/>
        </w:rPr>
        <w:t>2）</w:t>
      </w:r>
      <w:r>
        <w:rPr>
          <w:rFonts w:ascii="黑体" w:hAnsi="黑体" w:eastAsia="黑体" w:cs="微软雅黑 Light"/>
          <w:color w:val="auto"/>
          <w:sz w:val="24"/>
          <w:szCs w:val="24"/>
        </w:rPr>
        <w:t>IEC 61331-3:2014 医用诊断X射线辐射防护器具 第3部分：防护服，防护眼镜及病人防护器具</w:t>
      </w:r>
    </w:p>
    <w:p>
      <w:pPr>
        <w:snapToGrid w:val="0"/>
        <w:spacing w:line="360" w:lineRule="auto"/>
        <w:ind w:left="878" w:leftChars="418" w:firstLine="7" w:firstLineChars="3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黑体" w:hAnsi="黑体" w:eastAsia="黑体"/>
          <w:color w:val="auto"/>
          <w:sz w:val="24"/>
          <w:szCs w:val="24"/>
        </w:rPr>
        <w:t>3）具有CE认证，生产厂家产品全部满足并符合欧盟适用的所有法规要求</w:t>
      </w:r>
    </w:p>
    <w:p>
      <w:pPr>
        <w:snapToGrid w:val="0"/>
        <w:spacing w:line="360" w:lineRule="auto"/>
        <w:ind w:left="1064" w:leftChars="400" w:hanging="224"/>
        <w:rPr>
          <w:rFonts w:ascii="黑体" w:hAnsi="黑体" w:eastAsia="黑体" w:cs="微软雅黑 Light"/>
          <w:color w:val="auto"/>
          <w:sz w:val="24"/>
          <w:szCs w:val="24"/>
        </w:rPr>
      </w:pPr>
      <w:r>
        <w:rPr>
          <w:rFonts w:ascii="黑体" w:hAnsi="黑体" w:eastAsia="黑体" w:cs="微软雅黑 Light"/>
          <w:color w:val="auto"/>
          <w:sz w:val="24"/>
          <w:szCs w:val="24"/>
        </w:rPr>
        <w:t>4</w:t>
      </w:r>
      <w:r>
        <w:rPr>
          <w:rFonts w:hint="eastAsia" w:ascii="黑体" w:hAnsi="黑体" w:eastAsia="黑体" w:cs="微软雅黑 Light"/>
          <w:color w:val="auto"/>
          <w:sz w:val="24"/>
          <w:szCs w:val="24"/>
        </w:rPr>
        <w:t>）</w:t>
      </w:r>
      <w:r>
        <w:rPr>
          <w:rFonts w:ascii="黑体" w:hAnsi="黑体" w:eastAsia="黑体" w:cs="微软雅黑 Light"/>
          <w:color w:val="auto"/>
          <w:sz w:val="24"/>
          <w:szCs w:val="24"/>
        </w:rPr>
        <w:t>93/42/EEC 欧盟针对医疗器械的法规要求</w:t>
      </w:r>
    </w:p>
    <w:p>
      <w:pPr>
        <w:snapToGrid w:val="0"/>
        <w:spacing w:line="360" w:lineRule="auto"/>
        <w:ind w:left="1064" w:leftChars="400" w:hanging="224"/>
        <w:rPr>
          <w:rFonts w:ascii="黑体" w:hAnsi="黑体" w:eastAsia="黑体" w:cs="微软雅黑 Light"/>
          <w:color w:val="auto"/>
          <w:sz w:val="24"/>
          <w:szCs w:val="24"/>
        </w:rPr>
      </w:pPr>
      <w:r>
        <w:rPr>
          <w:rFonts w:ascii="黑体" w:hAnsi="黑体" w:eastAsia="黑体" w:cs="微软雅黑 Light"/>
          <w:color w:val="auto"/>
          <w:sz w:val="24"/>
          <w:szCs w:val="24"/>
        </w:rPr>
        <w:t>5</w:t>
      </w:r>
      <w:r>
        <w:rPr>
          <w:rFonts w:hint="eastAsia" w:ascii="黑体" w:hAnsi="黑体" w:eastAsia="黑体" w:cs="微软雅黑 Light"/>
          <w:color w:val="auto"/>
          <w:sz w:val="24"/>
          <w:szCs w:val="24"/>
        </w:rPr>
        <w:t>）</w:t>
      </w:r>
      <w:r>
        <w:rPr>
          <w:rFonts w:ascii="黑体" w:hAnsi="黑体" w:eastAsia="黑体" w:cs="微软雅黑 Light"/>
          <w:color w:val="auto"/>
          <w:sz w:val="24"/>
          <w:szCs w:val="24"/>
        </w:rPr>
        <w:t xml:space="preserve">89/686/EEC 欧盟针对个人防护设备的法规要求 </w:t>
      </w:r>
    </w:p>
    <w:p>
      <w:pPr>
        <w:snapToGrid w:val="0"/>
        <w:spacing w:line="360" w:lineRule="auto"/>
        <w:ind w:left="1064" w:leftChars="400" w:hanging="224"/>
        <w:rPr>
          <w:rFonts w:ascii="黑体" w:hAnsi="黑体" w:eastAsia="黑体" w:cs="微软雅黑 Light"/>
          <w:color w:val="auto"/>
          <w:sz w:val="24"/>
          <w:szCs w:val="24"/>
        </w:rPr>
      </w:pPr>
      <w:r>
        <w:rPr>
          <w:rFonts w:hint="eastAsia" w:ascii="黑体" w:hAnsi="黑体" w:eastAsia="黑体" w:cs="微软雅黑 Light"/>
          <w:color w:val="auto"/>
          <w:sz w:val="24"/>
          <w:szCs w:val="24"/>
        </w:rPr>
        <w:t>6）</w:t>
      </w:r>
      <w:r>
        <w:rPr>
          <w:rFonts w:ascii="黑体" w:hAnsi="黑体" w:eastAsia="黑体" w:cs="微软雅黑 Light"/>
          <w:color w:val="auto"/>
          <w:sz w:val="24"/>
          <w:szCs w:val="24"/>
        </w:rPr>
        <w:t>DIN EN ISO 9001 医疗器械质量管理体系</w:t>
      </w:r>
    </w:p>
    <w:p>
      <w:pPr>
        <w:snapToGrid w:val="0"/>
        <w:spacing w:line="360" w:lineRule="auto"/>
        <w:ind w:left="1064" w:leftChars="400" w:hanging="224"/>
        <w:rPr>
          <w:rFonts w:ascii="黑体" w:hAnsi="黑体" w:eastAsia="黑体" w:cs="微软雅黑 Light"/>
          <w:color w:val="auto"/>
          <w:sz w:val="24"/>
          <w:szCs w:val="24"/>
        </w:rPr>
      </w:pPr>
      <w:r>
        <w:rPr>
          <w:rFonts w:hint="eastAsia" w:ascii="黑体" w:hAnsi="黑体" w:eastAsia="黑体" w:cs="微软雅黑 Light"/>
          <w:color w:val="auto"/>
          <w:sz w:val="24"/>
          <w:szCs w:val="24"/>
        </w:rPr>
        <w:t>7）</w:t>
      </w:r>
      <w:r>
        <w:rPr>
          <w:rFonts w:ascii="黑体" w:hAnsi="黑体" w:eastAsia="黑体" w:cs="微软雅黑 Light"/>
          <w:color w:val="auto"/>
          <w:sz w:val="24"/>
          <w:szCs w:val="24"/>
        </w:rPr>
        <w:t>DIN EN ISO 13485 医疗器械质量管理体系</w:t>
      </w:r>
    </w:p>
    <w:p>
      <w:pPr>
        <w:snapToGrid w:val="0"/>
        <w:spacing w:line="360" w:lineRule="auto"/>
        <w:ind w:left="1064" w:leftChars="400" w:hanging="224"/>
        <w:rPr>
          <w:rFonts w:ascii="黑体" w:hAnsi="黑体" w:eastAsia="黑体" w:cs="微软雅黑 Light"/>
          <w:color w:val="auto"/>
          <w:sz w:val="24"/>
          <w:szCs w:val="24"/>
        </w:rPr>
      </w:pPr>
      <w:r>
        <w:rPr>
          <w:rFonts w:ascii="黑体" w:hAnsi="黑体" w:eastAsia="黑体" w:cs="微软雅黑 Light"/>
          <w:color w:val="auto"/>
          <w:sz w:val="24"/>
          <w:szCs w:val="24"/>
        </w:rPr>
        <w:t>8</w:t>
      </w:r>
      <w:r>
        <w:rPr>
          <w:rFonts w:hint="eastAsia" w:ascii="黑体" w:hAnsi="黑体" w:eastAsia="黑体" w:cs="微软雅黑 Light"/>
          <w:color w:val="auto"/>
          <w:sz w:val="24"/>
          <w:szCs w:val="24"/>
        </w:rPr>
        <w:t>）</w:t>
      </w:r>
      <w:r>
        <w:rPr>
          <w:rFonts w:ascii="黑体" w:hAnsi="黑体" w:eastAsia="黑体" w:cs="微软雅黑 Light"/>
          <w:color w:val="auto"/>
          <w:sz w:val="24"/>
          <w:szCs w:val="24"/>
        </w:rPr>
        <w:t>OEKO-TEX</w:t>
      </w:r>
      <w:r>
        <w:rPr>
          <w:rFonts w:ascii="Calibri" w:hAnsi="Calibri" w:eastAsia="黑体" w:cs="Calibri"/>
          <w:color w:val="auto"/>
          <w:sz w:val="24"/>
          <w:szCs w:val="24"/>
        </w:rPr>
        <w:t>®</w:t>
      </w:r>
      <w:r>
        <w:rPr>
          <w:rFonts w:ascii="黑体" w:hAnsi="黑体" w:eastAsia="黑体" w:cs="微软雅黑 Light"/>
          <w:color w:val="auto"/>
          <w:sz w:val="24"/>
          <w:szCs w:val="24"/>
        </w:rPr>
        <w:t xml:space="preserve"> 信心纺织品标准</w:t>
      </w:r>
    </w:p>
    <w:p>
      <w:pPr>
        <w:snapToGrid w:val="0"/>
        <w:spacing w:line="360" w:lineRule="auto"/>
        <w:ind w:left="1064" w:leftChars="400" w:hanging="224"/>
        <w:rPr>
          <w:rFonts w:ascii="黑体" w:hAnsi="黑体" w:eastAsia="黑体" w:cs="微软雅黑 Light"/>
          <w:color w:val="auto"/>
          <w:sz w:val="24"/>
          <w:szCs w:val="24"/>
        </w:rPr>
      </w:pPr>
      <w:r>
        <w:rPr>
          <w:rFonts w:ascii="黑体" w:hAnsi="黑体" w:eastAsia="黑体" w:cs="微软雅黑 Light"/>
          <w:color w:val="auto"/>
          <w:sz w:val="24"/>
          <w:szCs w:val="24"/>
        </w:rPr>
        <w:t>9</w:t>
      </w:r>
      <w:r>
        <w:rPr>
          <w:rFonts w:hint="eastAsia" w:ascii="黑体" w:hAnsi="黑体" w:eastAsia="黑体" w:cs="微软雅黑 Light"/>
          <w:color w:val="auto"/>
          <w:sz w:val="24"/>
          <w:szCs w:val="24"/>
        </w:rPr>
        <w:t>）</w:t>
      </w:r>
      <w:r>
        <w:rPr>
          <w:rFonts w:ascii="黑体" w:hAnsi="黑体" w:eastAsia="黑体" w:cs="微软雅黑 Light"/>
          <w:color w:val="auto"/>
          <w:sz w:val="24"/>
          <w:szCs w:val="24"/>
        </w:rPr>
        <w:t>IEC 60601-1-3 国家电工委员会针对医用电气设备标准</w:t>
      </w:r>
    </w:p>
    <w:p>
      <w:pPr>
        <w:snapToGrid w:val="0"/>
        <w:spacing w:line="360" w:lineRule="auto"/>
        <w:ind w:left="1064" w:leftChars="400" w:hanging="224"/>
        <w:rPr>
          <w:rFonts w:ascii="黑体" w:hAnsi="黑体" w:eastAsia="黑体" w:cs="微软雅黑 Light"/>
          <w:color w:val="auto"/>
          <w:sz w:val="24"/>
          <w:szCs w:val="24"/>
        </w:rPr>
      </w:pPr>
      <w:r>
        <w:rPr>
          <w:rFonts w:ascii="黑体" w:hAnsi="黑体" w:eastAsia="黑体" w:cs="微软雅黑 Light"/>
          <w:color w:val="auto"/>
          <w:sz w:val="24"/>
          <w:szCs w:val="24"/>
        </w:rPr>
        <w:t>10</w:t>
      </w:r>
      <w:r>
        <w:rPr>
          <w:rFonts w:hint="eastAsia" w:ascii="黑体" w:hAnsi="黑体" w:eastAsia="黑体" w:cs="微软雅黑 Light"/>
          <w:color w:val="auto"/>
          <w:sz w:val="24"/>
          <w:szCs w:val="24"/>
        </w:rPr>
        <w:t>）</w:t>
      </w:r>
      <w:r>
        <w:rPr>
          <w:rFonts w:ascii="黑体" w:hAnsi="黑体" w:eastAsia="黑体" w:cs="微软雅黑 Light"/>
          <w:color w:val="auto"/>
          <w:sz w:val="24"/>
          <w:szCs w:val="24"/>
        </w:rPr>
        <w:t>EN ISO 14971 医疗器械风险管理体系</w:t>
      </w:r>
    </w:p>
    <w:p>
      <w:pPr>
        <w:snapToGrid w:val="0"/>
        <w:spacing w:line="360" w:lineRule="auto"/>
        <w:ind w:left="1064" w:leftChars="400" w:hanging="224"/>
        <w:rPr>
          <w:rFonts w:ascii="黑体" w:hAnsi="黑体" w:eastAsia="黑体" w:cs="微软雅黑 Light"/>
          <w:color w:val="auto"/>
          <w:sz w:val="24"/>
          <w:szCs w:val="24"/>
        </w:rPr>
      </w:pPr>
      <w:r>
        <w:rPr>
          <w:rFonts w:ascii="黑体" w:hAnsi="黑体" w:eastAsia="黑体" w:cs="微软雅黑 Light"/>
          <w:color w:val="auto"/>
          <w:sz w:val="24"/>
          <w:szCs w:val="24"/>
        </w:rPr>
        <w:t>11</w:t>
      </w:r>
      <w:r>
        <w:rPr>
          <w:rFonts w:hint="eastAsia" w:ascii="黑体" w:hAnsi="黑体" w:eastAsia="黑体" w:cs="微软雅黑 Light"/>
          <w:color w:val="auto"/>
          <w:sz w:val="24"/>
          <w:szCs w:val="24"/>
        </w:rPr>
        <w:t>）</w:t>
      </w:r>
      <w:r>
        <w:rPr>
          <w:rFonts w:ascii="黑体" w:hAnsi="黑体" w:eastAsia="黑体" w:cs="微软雅黑 Light"/>
          <w:color w:val="auto"/>
          <w:sz w:val="24"/>
          <w:szCs w:val="24"/>
        </w:rPr>
        <w:t>DIN EN 13795 用作医疗器械的患者，医护人员和医疗器械用覆盖巾，手术服和洁净服</w:t>
      </w:r>
    </w:p>
    <w:p>
      <w:pPr>
        <w:pStyle w:val="7"/>
        <w:snapToGrid w:val="0"/>
        <w:spacing w:line="360" w:lineRule="auto"/>
        <w:ind w:left="849" w:leftChars="304" w:hanging="211" w:hangingChars="88"/>
        <w:rPr>
          <w:rFonts w:ascii="黑体" w:hAnsi="黑体" w:eastAsia="黑体"/>
          <w:sz w:val="24"/>
          <w:szCs w:val="24"/>
        </w:rPr>
      </w:pPr>
    </w:p>
    <w:p>
      <w:pPr>
        <w:snapToGrid w:val="0"/>
        <w:spacing w:line="360" w:lineRule="auto"/>
        <w:rPr>
          <w:rFonts w:ascii="黑体" w:hAnsi="黑体" w:eastAsia="黑体" w:cs="微软雅黑 Light"/>
          <w:sz w:val="24"/>
          <w:szCs w:val="24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BAA"/>
    <w:multiLevelType w:val="multilevel"/>
    <w:tmpl w:val="08136BAA"/>
    <w:lvl w:ilvl="0" w:tentative="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F3"/>
    <w:rsid w:val="00010BDD"/>
    <w:rsid w:val="000145F5"/>
    <w:rsid w:val="00021044"/>
    <w:rsid w:val="00043ADC"/>
    <w:rsid w:val="00065B37"/>
    <w:rsid w:val="000673FD"/>
    <w:rsid w:val="0007076A"/>
    <w:rsid w:val="000954FB"/>
    <w:rsid w:val="000A5345"/>
    <w:rsid w:val="000D373F"/>
    <w:rsid w:val="000F4A23"/>
    <w:rsid w:val="00101E98"/>
    <w:rsid w:val="001065CA"/>
    <w:rsid w:val="00112B5F"/>
    <w:rsid w:val="00121BA6"/>
    <w:rsid w:val="00130D24"/>
    <w:rsid w:val="001329F8"/>
    <w:rsid w:val="001620AB"/>
    <w:rsid w:val="0016752F"/>
    <w:rsid w:val="00174E78"/>
    <w:rsid w:val="001E7EB3"/>
    <w:rsid w:val="00207A72"/>
    <w:rsid w:val="002228EF"/>
    <w:rsid w:val="00235750"/>
    <w:rsid w:val="00254B56"/>
    <w:rsid w:val="0028203A"/>
    <w:rsid w:val="002C14FB"/>
    <w:rsid w:val="002C159D"/>
    <w:rsid w:val="002D2546"/>
    <w:rsid w:val="002D648A"/>
    <w:rsid w:val="00357D12"/>
    <w:rsid w:val="00367EF3"/>
    <w:rsid w:val="003950E8"/>
    <w:rsid w:val="003A1470"/>
    <w:rsid w:val="003A46CE"/>
    <w:rsid w:val="003B0043"/>
    <w:rsid w:val="003D6C4C"/>
    <w:rsid w:val="00434ACE"/>
    <w:rsid w:val="00437DAF"/>
    <w:rsid w:val="004410E6"/>
    <w:rsid w:val="00451C1E"/>
    <w:rsid w:val="00466886"/>
    <w:rsid w:val="0047268F"/>
    <w:rsid w:val="004A474D"/>
    <w:rsid w:val="004C1672"/>
    <w:rsid w:val="004D383B"/>
    <w:rsid w:val="00505C35"/>
    <w:rsid w:val="00531810"/>
    <w:rsid w:val="0053417A"/>
    <w:rsid w:val="00551655"/>
    <w:rsid w:val="0056284D"/>
    <w:rsid w:val="005921D0"/>
    <w:rsid w:val="005A58D5"/>
    <w:rsid w:val="005B4CFD"/>
    <w:rsid w:val="005D0E46"/>
    <w:rsid w:val="005E6698"/>
    <w:rsid w:val="005F24B8"/>
    <w:rsid w:val="00617B20"/>
    <w:rsid w:val="00621E47"/>
    <w:rsid w:val="006258BD"/>
    <w:rsid w:val="00646DEC"/>
    <w:rsid w:val="006A02A5"/>
    <w:rsid w:val="006A1BE8"/>
    <w:rsid w:val="006B301E"/>
    <w:rsid w:val="006C320F"/>
    <w:rsid w:val="006F3754"/>
    <w:rsid w:val="006F4827"/>
    <w:rsid w:val="006F4E3F"/>
    <w:rsid w:val="00701F0C"/>
    <w:rsid w:val="00731606"/>
    <w:rsid w:val="0077060A"/>
    <w:rsid w:val="007732ED"/>
    <w:rsid w:val="00775051"/>
    <w:rsid w:val="007A1E35"/>
    <w:rsid w:val="007C2063"/>
    <w:rsid w:val="007C5C26"/>
    <w:rsid w:val="008006B0"/>
    <w:rsid w:val="008219A4"/>
    <w:rsid w:val="00844E4F"/>
    <w:rsid w:val="008476AE"/>
    <w:rsid w:val="0085037E"/>
    <w:rsid w:val="008C783D"/>
    <w:rsid w:val="00900114"/>
    <w:rsid w:val="0090553B"/>
    <w:rsid w:val="009114AC"/>
    <w:rsid w:val="00911614"/>
    <w:rsid w:val="00967683"/>
    <w:rsid w:val="00982F33"/>
    <w:rsid w:val="009B69C1"/>
    <w:rsid w:val="009B7158"/>
    <w:rsid w:val="00A33B94"/>
    <w:rsid w:val="00A70DE8"/>
    <w:rsid w:val="00A71807"/>
    <w:rsid w:val="00A84724"/>
    <w:rsid w:val="00A95CD6"/>
    <w:rsid w:val="00AA4547"/>
    <w:rsid w:val="00AD2880"/>
    <w:rsid w:val="00AF0F19"/>
    <w:rsid w:val="00B11A81"/>
    <w:rsid w:val="00B13D25"/>
    <w:rsid w:val="00B23EB8"/>
    <w:rsid w:val="00B266CC"/>
    <w:rsid w:val="00B417FA"/>
    <w:rsid w:val="00B6062B"/>
    <w:rsid w:val="00B91892"/>
    <w:rsid w:val="00BB66E5"/>
    <w:rsid w:val="00BD44DE"/>
    <w:rsid w:val="00C00FCA"/>
    <w:rsid w:val="00C351C1"/>
    <w:rsid w:val="00C42F84"/>
    <w:rsid w:val="00C731AC"/>
    <w:rsid w:val="00CA7500"/>
    <w:rsid w:val="00CB512A"/>
    <w:rsid w:val="00CB60DB"/>
    <w:rsid w:val="00CD6E6C"/>
    <w:rsid w:val="00CE0045"/>
    <w:rsid w:val="00CF0993"/>
    <w:rsid w:val="00CF45B2"/>
    <w:rsid w:val="00D10FA6"/>
    <w:rsid w:val="00D126D3"/>
    <w:rsid w:val="00D44F1F"/>
    <w:rsid w:val="00D5781D"/>
    <w:rsid w:val="00D668BF"/>
    <w:rsid w:val="00D73E46"/>
    <w:rsid w:val="00D74227"/>
    <w:rsid w:val="00D97322"/>
    <w:rsid w:val="00DC5E16"/>
    <w:rsid w:val="00DD1499"/>
    <w:rsid w:val="00E04463"/>
    <w:rsid w:val="00E87771"/>
    <w:rsid w:val="00EB1D5E"/>
    <w:rsid w:val="00EC4FB0"/>
    <w:rsid w:val="00F11694"/>
    <w:rsid w:val="00F313FC"/>
    <w:rsid w:val="00F41EC5"/>
    <w:rsid w:val="00F605BC"/>
    <w:rsid w:val="00F72162"/>
    <w:rsid w:val="00F72696"/>
    <w:rsid w:val="00F828E3"/>
    <w:rsid w:val="00FA4D5D"/>
    <w:rsid w:val="00FA6C92"/>
    <w:rsid w:val="00FB4A66"/>
    <w:rsid w:val="00FC1436"/>
    <w:rsid w:val="00FE1DB1"/>
    <w:rsid w:val="00FE38ED"/>
    <w:rsid w:val="00FF76A8"/>
    <w:rsid w:val="054122DB"/>
    <w:rsid w:val="0BBD71D6"/>
    <w:rsid w:val="123645E7"/>
    <w:rsid w:val="12375AAF"/>
    <w:rsid w:val="126B0422"/>
    <w:rsid w:val="25B412C4"/>
    <w:rsid w:val="2C5F6327"/>
    <w:rsid w:val="2DBA73FA"/>
    <w:rsid w:val="3C7A447A"/>
    <w:rsid w:val="4B3C6C53"/>
    <w:rsid w:val="4F7113A8"/>
    <w:rsid w:val="5071695E"/>
    <w:rsid w:val="58FA12B0"/>
    <w:rsid w:val="5BC73C84"/>
    <w:rsid w:val="5BDE59F6"/>
    <w:rsid w:val="616B156A"/>
    <w:rsid w:val="7E8477E6"/>
    <w:rsid w:val="7F920256"/>
    <w:rsid w:val="7F92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27A360-B09A-4898-A03B-7313161AE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ALLIAN</Company>
  <Pages>1</Pages>
  <Words>104</Words>
  <Characters>593</Characters>
  <Lines>4</Lines>
  <Paragraphs>1</Paragraphs>
  <TotalTime>6</TotalTime>
  <ScaleCrop>false</ScaleCrop>
  <LinksUpToDate>false</LinksUpToDate>
  <CharactersWithSpaces>696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2017-04-24T01:09:00Z</dcterms:created>
  <dc:creator>李金龙</dc:creator>
  <cp:lastModifiedBy>Administrator</cp:lastModifiedBy>
  <cp:lastPrinted>2019-07-29T02:38:00Z</cp:lastPrinted>
  <dcterms:modified xsi:type="dcterms:W3CDTF">2019-07-31T08:04:11Z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