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0" w:firstLine="2560" w:firstLineChars="800"/>
        <w:jc w:val="both"/>
      </w:pP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胰岛素泵技术参数</w:t>
      </w: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尺寸：9.1*5.1*2.0cm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适用人群：适合全龄段人群，成人及儿童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t>基础率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范围和步长：0.00-35单位/小时，0.05单位增量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基础率和形式：48段基础率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临时基础率调节方式：百分比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胰岛素输注方式：生理脉冲式胰岛素输注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储药器容积：3ML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胰岛素浓度：U-100浓度胰岛素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大剂量范围和增量：0-25U，0.1U增量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报警模式：蜂鸣+振动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马达：原装进口马达组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电池：1节AAA电池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防水性能：IPX7，可溅水和一次性浸水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键盘保护：键盘锁，防止误操作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储药器剩余量不足报警：可回顾至少36次报警，以及报警日期及时间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低液量报警：剩余单位和时间两种方式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充盈记录：可回顾至少20次的排气记录，以及排气时间和日期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大剂量历史回顾：最多可看到24个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操作页面：逐屏菜单式</w:t>
      </w:r>
    </w:p>
    <w:p>
      <w:pPr>
        <w:ind w:leftChars="0"/>
        <w:jc w:val="left"/>
      </w:pPr>
    </w:p>
    <w:p>
      <w:pPr>
        <w:ind w:leftChars="0"/>
        <w:jc w:val="left"/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语言：中英文等</w:t>
      </w:r>
    </w:p>
    <w:p>
      <w:pPr>
        <w:ind w:leftChars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3E44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295</Words>
  <Characters>347</Characters>
  <Paragraphs>43</Paragraphs>
  <TotalTime>0</TotalTime>
  <ScaleCrop>false</ScaleCrop>
  <LinksUpToDate>false</LinksUpToDate>
  <CharactersWithSpaces>347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2021-01-28T00:56:00Z</dcterms:created>
  <dc:creator>M2011K2C</dc:creator>
  <cp:lastModifiedBy>Administrator</cp:lastModifiedBy>
  <dcterms:modified xsi:type="dcterms:W3CDTF">2021-01-28T08:43:27Z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