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/>
          <w:sz w:val="36"/>
          <w:szCs w:val="40"/>
        </w:rPr>
        <w:t>徐州</w:t>
      </w: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市中医医</w:t>
      </w:r>
      <w:r>
        <w:rPr>
          <w:rFonts w:hint="eastAsia" w:ascii="黑体" w:hAnsi="黑体" w:eastAsia="黑体" w:cs="黑体"/>
          <w:b/>
          <w:bCs/>
          <w:sz w:val="36"/>
          <w:szCs w:val="40"/>
        </w:rPr>
        <w:t>院污水处理站</w:t>
      </w: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b/>
          <w:bCs/>
          <w:sz w:val="36"/>
          <w:szCs w:val="40"/>
        </w:rPr>
        <w:t>排污口</w:t>
      </w: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在线</w:t>
      </w:r>
      <w:r>
        <w:rPr>
          <w:rFonts w:hint="eastAsia" w:ascii="黑体" w:hAnsi="黑体" w:eastAsia="黑体" w:cs="黑体"/>
          <w:b/>
          <w:bCs/>
          <w:sz w:val="36"/>
          <w:szCs w:val="40"/>
        </w:rPr>
        <w:t>监控设备</w:t>
      </w: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 xml:space="preserve">    </w:t>
      </w:r>
    </w:p>
    <w:tbl>
      <w:tblPr>
        <w:tblStyle w:val="3"/>
        <w:tblpPr w:leftFromText="180" w:rightFromText="180" w:vertAnchor="text" w:horzAnchor="page" w:tblpX="3429" w:tblpY="248"/>
        <w:tblOverlap w:val="never"/>
        <w:tblW w:w="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08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型号及规格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PH在线自动检测仪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量程0-12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COD在线自动监测仪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WQ1000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量程0-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5000m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氨氮在线自动监测仪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WQ1000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量程0-300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总磷在线自动监测仪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WQ1000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量程0-50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总氮在线自动监测仪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WQ1000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量程0-100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</w:t>
            </w:r>
          </w:p>
        </w:tc>
      </w:tr>
    </w:tbl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b/>
          <w:bCs/>
          <w:sz w:val="36"/>
          <w:szCs w:val="40"/>
        </w:rPr>
      </w:pPr>
    </w:p>
    <w:p>
      <w:pPr>
        <w:wordWrap w:val="0"/>
        <w:jc w:val="right"/>
        <w:rPr>
          <w:rFonts w:hint="default" w:ascii="Times New Roman" w:hAnsi="Times New Roman" w:eastAsia="黑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40"/>
          <w:lang w:val="en-US" w:eastAsia="zh-CN"/>
        </w:rPr>
        <w:t xml:space="preserve">            </w:t>
      </w:r>
    </w:p>
    <w:p>
      <w:pPr>
        <w:jc w:val="right"/>
        <w:rPr>
          <w:rFonts w:hint="eastAsia" w:asciiTheme="majorEastAsia" w:hAnsiTheme="majorEastAsia" w:eastAsiaTheme="majorEastAsia"/>
          <w:b/>
          <w:bCs/>
          <w:sz w:val="36"/>
          <w:szCs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74"/>
    <w:rsid w:val="001113D2"/>
    <w:rsid w:val="001B5D1F"/>
    <w:rsid w:val="001D3C93"/>
    <w:rsid w:val="00301F6A"/>
    <w:rsid w:val="004D2B95"/>
    <w:rsid w:val="00746412"/>
    <w:rsid w:val="007B5A68"/>
    <w:rsid w:val="008119CB"/>
    <w:rsid w:val="00880C74"/>
    <w:rsid w:val="00B454E4"/>
    <w:rsid w:val="00B47560"/>
    <w:rsid w:val="00BC6994"/>
    <w:rsid w:val="00C10A22"/>
    <w:rsid w:val="00F51E23"/>
    <w:rsid w:val="00FE65A3"/>
    <w:rsid w:val="013C0F8F"/>
    <w:rsid w:val="0EFF4CA4"/>
    <w:rsid w:val="148B02D5"/>
    <w:rsid w:val="189E630F"/>
    <w:rsid w:val="1E25009D"/>
    <w:rsid w:val="22AD1C71"/>
    <w:rsid w:val="2A424977"/>
    <w:rsid w:val="3FB50B19"/>
    <w:rsid w:val="59BC0F4F"/>
    <w:rsid w:val="70777E7D"/>
    <w:rsid w:val="78B60D38"/>
    <w:rsid w:val="796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2021-11-30T13:40:00Z</dcterms:created>
  <dc:creator>倪萌</dc:creator>
  <cp:lastModifiedBy>林</cp:lastModifiedBy>
  <cp:lastPrinted>2022-03-17T02:40:00Z</cp:lastPrinted>
  <dcterms:modified xsi:type="dcterms:W3CDTF">2022-03-28T00:44:34Z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11DA2D8A4C544F4D9829B8E13ADEBBEA</vt:lpwstr>
  </property>
</Properties>
</file>